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4CFD" w:rsidRDefault="00A64CFD" w:rsidP="00A64CFD">
      <w:pPr>
        <w:pBdr>
          <w:top w:val="single" w:sz="4" w:space="1" w:color="auto"/>
          <w:bottom w:val="single" w:sz="4" w:space="1" w:color="auto"/>
        </w:pBdr>
        <w:spacing w:after="0" w:line="240" w:lineRule="auto"/>
        <w:rPr>
          <w:rFonts w:asciiTheme="minorHAnsi" w:hAnsiTheme="minorHAnsi"/>
          <w:sz w:val="48"/>
          <w:szCs w:val="48"/>
        </w:rPr>
      </w:pPr>
    </w:p>
    <w:p w:rsidR="00A64CFD" w:rsidRDefault="00A64CFD" w:rsidP="00B72FB0">
      <w:pPr>
        <w:pBdr>
          <w:top w:val="single" w:sz="4" w:space="1" w:color="auto"/>
          <w:bottom w:val="single" w:sz="4" w:space="1" w:color="auto"/>
        </w:pBdr>
        <w:spacing w:before="4200" w:after="0" w:line="240" w:lineRule="auto"/>
        <w:rPr>
          <w:rFonts w:asciiTheme="minorHAnsi" w:hAnsiTheme="minorHAnsi"/>
          <w:sz w:val="48"/>
          <w:szCs w:val="48"/>
        </w:rPr>
      </w:pPr>
      <w:r w:rsidRPr="00A64CFD">
        <w:rPr>
          <w:rFonts w:asciiTheme="minorHAnsi" w:hAnsiTheme="minorHAnsi"/>
          <w:sz w:val="48"/>
          <w:szCs w:val="48"/>
        </w:rPr>
        <w:t>Submission to the Review of Australian Charities and Not-for-profits Commission (ACNC) legislation</w:t>
      </w:r>
      <w:r>
        <w:rPr>
          <w:rFonts w:asciiTheme="minorHAnsi" w:hAnsiTheme="minorHAnsi"/>
          <w:sz w:val="48"/>
          <w:szCs w:val="48"/>
        </w:rPr>
        <w:t xml:space="preserve"> </w:t>
      </w:r>
      <w:r w:rsidRPr="00A64CFD">
        <w:rPr>
          <w:rFonts w:asciiTheme="minorHAnsi" w:hAnsiTheme="minorHAnsi"/>
          <w:sz w:val="48"/>
          <w:szCs w:val="48"/>
        </w:rPr>
        <w:t xml:space="preserve">from the </w:t>
      </w:r>
      <w:r>
        <w:rPr>
          <w:rFonts w:asciiTheme="minorHAnsi" w:hAnsiTheme="minorHAnsi"/>
          <w:sz w:val="48"/>
          <w:szCs w:val="48"/>
        </w:rPr>
        <w:t>Prime Minister’s Community Business Partnership</w:t>
      </w:r>
    </w:p>
    <w:p w:rsidR="00A64CFD" w:rsidRDefault="00A64CFD" w:rsidP="00A64CFD">
      <w:pPr>
        <w:pBdr>
          <w:top w:val="single" w:sz="4" w:space="1" w:color="auto"/>
          <w:bottom w:val="single" w:sz="4" w:space="1" w:color="auto"/>
        </w:pBdr>
        <w:spacing w:after="0" w:line="240" w:lineRule="auto"/>
        <w:rPr>
          <w:rFonts w:asciiTheme="minorHAnsi" w:hAnsiTheme="minorHAnsi"/>
          <w:sz w:val="48"/>
          <w:szCs w:val="48"/>
        </w:rPr>
      </w:pPr>
    </w:p>
    <w:p w:rsidR="00E97B0F" w:rsidRPr="00A64CFD" w:rsidRDefault="00E97B0F" w:rsidP="00A64CFD">
      <w:pPr>
        <w:pBdr>
          <w:top w:val="single" w:sz="4" w:space="1" w:color="auto"/>
          <w:bottom w:val="single" w:sz="4" w:space="1" w:color="auto"/>
        </w:pBdr>
        <w:spacing w:before="480" w:after="120" w:line="240" w:lineRule="auto"/>
        <w:rPr>
          <w:rFonts w:asciiTheme="minorHAnsi" w:hAnsiTheme="minorHAnsi"/>
          <w:sz w:val="48"/>
          <w:szCs w:val="48"/>
        </w:rPr>
      </w:pPr>
      <w:r w:rsidRPr="00A64CFD">
        <w:rPr>
          <w:rFonts w:asciiTheme="minorHAnsi" w:hAnsiTheme="minorHAnsi"/>
          <w:sz w:val="48"/>
          <w:szCs w:val="48"/>
        </w:rPr>
        <w:br w:type="page"/>
      </w:r>
    </w:p>
    <w:p w:rsidR="00C30E36" w:rsidRPr="0052427E" w:rsidRDefault="00C30E36" w:rsidP="00C30E36">
      <w:pPr>
        <w:spacing w:after="120" w:line="240" w:lineRule="auto"/>
        <w:rPr>
          <w:rFonts w:asciiTheme="minorHAnsi" w:hAnsiTheme="minorHAnsi"/>
          <w:b/>
          <w:sz w:val="32"/>
          <w:szCs w:val="32"/>
        </w:rPr>
      </w:pPr>
      <w:r w:rsidRPr="0052427E">
        <w:rPr>
          <w:rFonts w:asciiTheme="minorHAnsi" w:hAnsiTheme="minorHAnsi"/>
          <w:b/>
          <w:sz w:val="32"/>
          <w:szCs w:val="32"/>
        </w:rPr>
        <w:t>Section 1:</w:t>
      </w:r>
    </w:p>
    <w:p w:rsidR="00E97B0F" w:rsidRPr="00C30E36" w:rsidRDefault="006B68F1" w:rsidP="00FA1433">
      <w:pPr>
        <w:spacing w:after="0" w:line="240" w:lineRule="auto"/>
        <w:rPr>
          <w:rFonts w:asciiTheme="minorHAnsi" w:hAnsiTheme="minorHAnsi"/>
          <w:b/>
          <w:sz w:val="28"/>
          <w:szCs w:val="28"/>
        </w:rPr>
      </w:pPr>
      <w:r w:rsidRPr="0052427E">
        <w:rPr>
          <w:rFonts w:asciiTheme="minorHAnsi" w:hAnsiTheme="minorHAnsi"/>
          <w:b/>
          <w:sz w:val="28"/>
          <w:szCs w:val="28"/>
        </w:rPr>
        <w:t xml:space="preserve">Summary of </w:t>
      </w:r>
      <w:r w:rsidR="00E97B0F" w:rsidRPr="0052427E">
        <w:rPr>
          <w:rFonts w:asciiTheme="minorHAnsi" w:hAnsiTheme="minorHAnsi"/>
          <w:b/>
          <w:sz w:val="28"/>
          <w:szCs w:val="28"/>
        </w:rPr>
        <w:t xml:space="preserve">matters </w:t>
      </w:r>
      <w:r w:rsidR="00C30E36" w:rsidRPr="0052427E">
        <w:rPr>
          <w:rFonts w:asciiTheme="minorHAnsi" w:hAnsiTheme="minorHAnsi"/>
          <w:b/>
          <w:sz w:val="28"/>
          <w:szCs w:val="28"/>
        </w:rPr>
        <w:t xml:space="preserve">recommended for </w:t>
      </w:r>
      <w:r w:rsidR="00E97B0F" w:rsidRPr="0052427E">
        <w:rPr>
          <w:rFonts w:asciiTheme="minorHAnsi" w:hAnsiTheme="minorHAnsi"/>
          <w:b/>
          <w:sz w:val="28"/>
          <w:szCs w:val="28"/>
        </w:rPr>
        <w:t>consider</w:t>
      </w:r>
      <w:r w:rsidR="00C30E36" w:rsidRPr="0052427E">
        <w:rPr>
          <w:rFonts w:asciiTheme="minorHAnsi" w:hAnsiTheme="minorHAnsi"/>
          <w:b/>
          <w:sz w:val="28"/>
          <w:szCs w:val="28"/>
        </w:rPr>
        <w:t xml:space="preserve">ation </w:t>
      </w:r>
      <w:r w:rsidR="00E97B0F" w:rsidRPr="0052427E">
        <w:rPr>
          <w:rFonts w:asciiTheme="minorHAnsi" w:hAnsiTheme="minorHAnsi"/>
          <w:b/>
          <w:sz w:val="28"/>
          <w:szCs w:val="28"/>
        </w:rPr>
        <w:t>by the Review Pane</w:t>
      </w:r>
      <w:r w:rsidR="00C30E36" w:rsidRPr="0052427E">
        <w:rPr>
          <w:rFonts w:asciiTheme="minorHAnsi" w:hAnsiTheme="minorHAnsi"/>
          <w:b/>
          <w:sz w:val="28"/>
          <w:szCs w:val="28"/>
        </w:rPr>
        <w:t>l</w:t>
      </w:r>
    </w:p>
    <w:p w:rsidR="00FA1433" w:rsidRPr="00FA1433" w:rsidRDefault="00FA1433" w:rsidP="00FA1433">
      <w:pPr>
        <w:spacing w:after="0" w:line="240" w:lineRule="auto"/>
        <w:rPr>
          <w:rFonts w:asciiTheme="minorHAnsi" w:hAnsiTheme="minorHAnsi"/>
          <w:sz w:val="24"/>
          <w:szCs w:val="44"/>
        </w:rPr>
      </w:pPr>
    </w:p>
    <w:tbl>
      <w:tblPr>
        <w:tblStyle w:val="TableGrid"/>
        <w:tblW w:w="9464" w:type="dxa"/>
        <w:tblLook w:val="04A0" w:firstRow="1" w:lastRow="0" w:firstColumn="1" w:lastColumn="0" w:noHBand="0" w:noVBand="1"/>
        <w:tblDescription w:val="Summary of matters recommended for consideration by the Review Panel"/>
      </w:tblPr>
      <w:tblGrid>
        <w:gridCol w:w="495"/>
        <w:gridCol w:w="8969"/>
      </w:tblGrid>
      <w:tr w:rsidR="00E97B0F" w:rsidRPr="00E97B0F" w:rsidTr="00B72FB0">
        <w:trPr>
          <w:tblHeader/>
        </w:trPr>
        <w:tc>
          <w:tcPr>
            <w:tcW w:w="495" w:type="dxa"/>
          </w:tcPr>
          <w:p w:rsidR="00E97B0F" w:rsidRPr="00E97B0F" w:rsidRDefault="00E97B0F" w:rsidP="00FE6325">
            <w:pPr>
              <w:spacing w:before="120" w:after="120"/>
              <w:rPr>
                <w:rFonts w:asciiTheme="minorHAnsi" w:hAnsiTheme="minorHAnsi" w:cstheme="minorHAnsi"/>
              </w:rPr>
            </w:pPr>
            <w:r w:rsidRPr="00E97B0F">
              <w:rPr>
                <w:rFonts w:asciiTheme="minorHAnsi" w:hAnsiTheme="minorHAnsi" w:cstheme="minorHAnsi"/>
              </w:rPr>
              <w:t>1.</w:t>
            </w:r>
          </w:p>
        </w:tc>
        <w:tc>
          <w:tcPr>
            <w:tcW w:w="8969" w:type="dxa"/>
          </w:tcPr>
          <w:p w:rsidR="00EE1318" w:rsidRPr="00EE1318" w:rsidRDefault="00EE1318" w:rsidP="00FE6325">
            <w:pPr>
              <w:spacing w:before="120" w:after="120"/>
              <w:rPr>
                <w:rFonts w:asciiTheme="minorHAnsi" w:hAnsiTheme="minorHAnsi" w:cstheme="minorHAnsi"/>
                <w:b/>
                <w:i/>
              </w:rPr>
            </w:pPr>
            <w:r w:rsidRPr="00EE1318">
              <w:rPr>
                <w:rFonts w:asciiTheme="minorHAnsi" w:hAnsiTheme="minorHAnsi" w:cstheme="minorHAnsi"/>
                <w:b/>
                <w:i/>
              </w:rPr>
              <w:t>Core principles and key values to ensure balance in the regulatory framework</w:t>
            </w:r>
          </w:p>
          <w:p w:rsidR="00E97B0F" w:rsidRPr="00E97B0F" w:rsidRDefault="00E97B0F" w:rsidP="00FE6325">
            <w:pPr>
              <w:spacing w:before="120" w:after="120"/>
              <w:rPr>
                <w:rFonts w:asciiTheme="minorHAnsi" w:hAnsiTheme="minorHAnsi" w:cstheme="minorHAnsi"/>
              </w:rPr>
            </w:pPr>
            <w:r w:rsidRPr="00E97B0F">
              <w:rPr>
                <w:rFonts w:asciiTheme="minorHAnsi" w:hAnsiTheme="minorHAnsi" w:cstheme="minorHAnsi"/>
              </w:rPr>
              <w:t xml:space="preserve">Consider </w:t>
            </w:r>
            <w:r w:rsidR="005A3EAD">
              <w:rPr>
                <w:rFonts w:asciiTheme="minorHAnsi" w:hAnsiTheme="minorHAnsi" w:cstheme="minorHAnsi"/>
              </w:rPr>
              <w:t>that i</w:t>
            </w:r>
            <w:r w:rsidRPr="00E97B0F">
              <w:rPr>
                <w:rFonts w:asciiTheme="minorHAnsi" w:hAnsiTheme="minorHAnsi" w:cstheme="minorHAnsi"/>
              </w:rPr>
              <w:t>n shaping final recommendations to Government</w:t>
            </w:r>
            <w:r w:rsidR="005A3EAD">
              <w:rPr>
                <w:rFonts w:asciiTheme="minorHAnsi" w:hAnsiTheme="minorHAnsi" w:cstheme="minorHAnsi"/>
              </w:rPr>
              <w:t xml:space="preserve"> due attention be given to</w:t>
            </w:r>
            <w:r w:rsidRPr="00E97B0F">
              <w:rPr>
                <w:rFonts w:asciiTheme="minorHAnsi" w:hAnsiTheme="minorHAnsi" w:cstheme="minorHAnsi"/>
              </w:rPr>
              <w:t>:</w:t>
            </w:r>
          </w:p>
          <w:p w:rsidR="00E97B0F" w:rsidRPr="00E97B0F" w:rsidRDefault="006B68F1" w:rsidP="005131E3">
            <w:pPr>
              <w:numPr>
                <w:ilvl w:val="0"/>
                <w:numId w:val="25"/>
              </w:numPr>
              <w:spacing w:before="120" w:after="120"/>
              <w:ind w:left="360"/>
              <w:rPr>
                <w:rFonts w:asciiTheme="minorHAnsi" w:hAnsiTheme="minorHAnsi" w:cstheme="minorHAnsi"/>
              </w:rPr>
            </w:pPr>
            <w:r>
              <w:rPr>
                <w:rFonts w:asciiTheme="minorHAnsi" w:hAnsiTheme="minorHAnsi" w:cstheme="minorHAnsi"/>
              </w:rPr>
              <w:t xml:space="preserve">acknowledging and respecting </w:t>
            </w:r>
            <w:r w:rsidR="00E97B0F" w:rsidRPr="00E97B0F">
              <w:rPr>
                <w:rFonts w:asciiTheme="minorHAnsi" w:hAnsiTheme="minorHAnsi" w:cstheme="minorHAnsi"/>
              </w:rPr>
              <w:t xml:space="preserve">the </w:t>
            </w:r>
            <w:r>
              <w:rPr>
                <w:rFonts w:asciiTheme="minorHAnsi" w:hAnsiTheme="minorHAnsi" w:cstheme="minorHAnsi"/>
              </w:rPr>
              <w:t xml:space="preserve">independence </w:t>
            </w:r>
            <w:r w:rsidR="00E97B0F" w:rsidRPr="00E97B0F">
              <w:rPr>
                <w:rFonts w:asciiTheme="minorHAnsi" w:hAnsiTheme="minorHAnsi" w:cstheme="minorHAnsi"/>
              </w:rPr>
              <w:t xml:space="preserve">of the charity sector </w:t>
            </w:r>
            <w:r>
              <w:rPr>
                <w:rFonts w:asciiTheme="minorHAnsi" w:hAnsiTheme="minorHAnsi" w:cstheme="minorHAnsi"/>
              </w:rPr>
              <w:t xml:space="preserve">in underpinning its role in delivering </w:t>
            </w:r>
            <w:r w:rsidRPr="006B68F1">
              <w:rPr>
                <w:rFonts w:asciiTheme="minorHAnsi" w:hAnsiTheme="minorHAnsi" w:cstheme="minorHAnsi"/>
              </w:rPr>
              <w:t xml:space="preserve">wide ranging services </w:t>
            </w:r>
            <w:r>
              <w:rPr>
                <w:rFonts w:asciiTheme="minorHAnsi" w:hAnsiTheme="minorHAnsi" w:cstheme="minorHAnsi"/>
              </w:rPr>
              <w:t xml:space="preserve">and support across Australian society, in particular </w:t>
            </w:r>
            <w:r w:rsidR="003E5077">
              <w:rPr>
                <w:rFonts w:asciiTheme="minorHAnsi" w:hAnsiTheme="minorHAnsi" w:cstheme="minorHAnsi"/>
              </w:rPr>
              <w:t xml:space="preserve">its support for </w:t>
            </w:r>
            <w:r>
              <w:rPr>
                <w:rFonts w:asciiTheme="minorHAnsi" w:hAnsiTheme="minorHAnsi" w:cstheme="minorHAnsi"/>
              </w:rPr>
              <w:t xml:space="preserve">the most vulnerable, and </w:t>
            </w:r>
          </w:p>
          <w:p w:rsidR="00E97B0F" w:rsidRPr="00E97B0F" w:rsidRDefault="008F63D4" w:rsidP="005131E3">
            <w:pPr>
              <w:numPr>
                <w:ilvl w:val="0"/>
                <w:numId w:val="25"/>
              </w:numPr>
              <w:spacing w:before="120" w:after="120"/>
              <w:ind w:left="357" w:hanging="357"/>
              <w:rPr>
                <w:rFonts w:asciiTheme="minorHAnsi" w:hAnsiTheme="minorHAnsi" w:cstheme="minorHAnsi"/>
              </w:rPr>
            </w:pPr>
            <w:r>
              <w:rPr>
                <w:rFonts w:asciiTheme="minorHAnsi" w:hAnsiTheme="minorHAnsi" w:cstheme="minorHAnsi"/>
              </w:rPr>
              <w:t xml:space="preserve">the </w:t>
            </w:r>
            <w:r w:rsidR="00E97B0F" w:rsidRPr="00E97B0F">
              <w:rPr>
                <w:rFonts w:asciiTheme="minorHAnsi" w:hAnsiTheme="minorHAnsi" w:cstheme="minorHAnsi"/>
              </w:rPr>
              <w:t>core regulatory principles and values of the ACNC, and the importance of retaining a fair and reasonable balance between regulation and sector independence and flexibility.</w:t>
            </w:r>
          </w:p>
        </w:tc>
      </w:tr>
      <w:tr w:rsidR="000B7E48" w:rsidRPr="00E97B0F" w:rsidTr="00B72FB0">
        <w:tc>
          <w:tcPr>
            <w:tcW w:w="495" w:type="dxa"/>
          </w:tcPr>
          <w:p w:rsidR="000B7E48" w:rsidRPr="0052427E" w:rsidRDefault="000B7E48" w:rsidP="00FE6325">
            <w:pPr>
              <w:spacing w:before="120" w:after="120"/>
              <w:rPr>
                <w:rFonts w:asciiTheme="minorHAnsi" w:hAnsiTheme="minorHAnsi" w:cstheme="minorHAnsi"/>
              </w:rPr>
            </w:pPr>
            <w:r w:rsidRPr="0052427E">
              <w:rPr>
                <w:rFonts w:asciiTheme="minorHAnsi" w:hAnsiTheme="minorHAnsi" w:cstheme="minorHAnsi"/>
              </w:rPr>
              <w:t>2.</w:t>
            </w:r>
          </w:p>
        </w:tc>
        <w:tc>
          <w:tcPr>
            <w:tcW w:w="8969" w:type="dxa"/>
          </w:tcPr>
          <w:p w:rsidR="00FD0FDC" w:rsidRPr="0052427E" w:rsidRDefault="00FD0FDC" w:rsidP="00FD0FDC">
            <w:pPr>
              <w:spacing w:before="120" w:after="120"/>
              <w:rPr>
                <w:rFonts w:asciiTheme="minorHAnsi" w:hAnsiTheme="minorHAnsi" w:cstheme="minorHAnsi"/>
                <w:b/>
                <w:i/>
              </w:rPr>
            </w:pPr>
            <w:r w:rsidRPr="0052427E">
              <w:rPr>
                <w:rFonts w:asciiTheme="minorHAnsi" w:hAnsiTheme="minorHAnsi" w:cstheme="minorHAnsi"/>
                <w:b/>
                <w:i/>
              </w:rPr>
              <w:t>The role of the ACNC Advisory Board in engaging and connecting with the sector</w:t>
            </w:r>
          </w:p>
          <w:p w:rsidR="00CE5CF4" w:rsidRPr="0052427E" w:rsidRDefault="00CE5CF4" w:rsidP="00CE5CF4">
            <w:pPr>
              <w:spacing w:before="120" w:after="120"/>
              <w:rPr>
                <w:rFonts w:asciiTheme="minorHAnsi" w:hAnsiTheme="minorHAnsi" w:cstheme="minorHAnsi"/>
              </w:rPr>
            </w:pPr>
            <w:r w:rsidRPr="0052427E">
              <w:rPr>
                <w:rFonts w:asciiTheme="minorHAnsi" w:hAnsiTheme="minorHAnsi" w:cstheme="minorHAnsi"/>
              </w:rPr>
              <w:t xml:space="preserve">Consider </w:t>
            </w:r>
            <w:r w:rsidR="00320513" w:rsidRPr="0052427E">
              <w:rPr>
                <w:rFonts w:asciiTheme="minorHAnsi" w:hAnsiTheme="minorHAnsi" w:cstheme="minorHAnsi"/>
              </w:rPr>
              <w:t>reviewing sections (110-20 and 135-15) of the ACNC Act that limit the operation and effectiveness of</w:t>
            </w:r>
            <w:r w:rsidR="00FD0FDC" w:rsidRPr="0052427E">
              <w:rPr>
                <w:rFonts w:asciiTheme="minorHAnsi" w:hAnsiTheme="minorHAnsi" w:cstheme="minorHAnsi"/>
              </w:rPr>
              <w:t xml:space="preserve"> the </w:t>
            </w:r>
            <w:r w:rsidRPr="0052427E">
              <w:rPr>
                <w:rFonts w:asciiTheme="minorHAnsi" w:hAnsiTheme="minorHAnsi" w:cstheme="minorHAnsi"/>
              </w:rPr>
              <w:t xml:space="preserve">ACNC Advisory </w:t>
            </w:r>
            <w:r w:rsidR="00FD0FDC" w:rsidRPr="0052427E">
              <w:rPr>
                <w:rFonts w:asciiTheme="minorHAnsi" w:hAnsiTheme="minorHAnsi" w:cstheme="minorHAnsi"/>
              </w:rPr>
              <w:t xml:space="preserve">Board </w:t>
            </w:r>
            <w:r w:rsidRPr="0052427E">
              <w:rPr>
                <w:rFonts w:asciiTheme="minorHAnsi" w:hAnsiTheme="minorHAnsi" w:cstheme="minorHAnsi"/>
              </w:rPr>
              <w:t>(the Board)</w:t>
            </w:r>
            <w:r w:rsidR="00320513" w:rsidRPr="0052427E">
              <w:rPr>
                <w:rFonts w:asciiTheme="minorHAnsi" w:hAnsiTheme="minorHAnsi" w:cstheme="minorHAnsi"/>
              </w:rPr>
              <w:t xml:space="preserve">.  Consider how the Board’s role could be better articulated </w:t>
            </w:r>
            <w:r w:rsidR="00FD0FDC" w:rsidRPr="0052427E">
              <w:rPr>
                <w:rFonts w:asciiTheme="minorHAnsi" w:hAnsiTheme="minorHAnsi" w:cstheme="minorHAnsi"/>
              </w:rPr>
              <w:t xml:space="preserve">in </w:t>
            </w:r>
            <w:r w:rsidR="00320513" w:rsidRPr="0052427E">
              <w:rPr>
                <w:rFonts w:asciiTheme="minorHAnsi" w:hAnsiTheme="minorHAnsi" w:cstheme="minorHAnsi"/>
              </w:rPr>
              <w:t xml:space="preserve">the Act to enhance its </w:t>
            </w:r>
            <w:r w:rsidR="00FD0FDC" w:rsidRPr="0052427E">
              <w:rPr>
                <w:rFonts w:asciiTheme="minorHAnsi" w:hAnsiTheme="minorHAnsi" w:cstheme="minorHAnsi"/>
              </w:rPr>
              <w:t xml:space="preserve">advice to the </w:t>
            </w:r>
            <w:r w:rsidRPr="0052427E">
              <w:rPr>
                <w:rFonts w:asciiTheme="minorHAnsi" w:hAnsiTheme="minorHAnsi" w:cstheme="minorHAnsi"/>
              </w:rPr>
              <w:t xml:space="preserve">Commissioner and to </w:t>
            </w:r>
            <w:r w:rsidR="00FD0FDC" w:rsidRPr="0052427E">
              <w:rPr>
                <w:rFonts w:asciiTheme="minorHAnsi" w:hAnsiTheme="minorHAnsi" w:cstheme="minorHAnsi"/>
              </w:rPr>
              <w:t>Minister, and having a broader representation at both a geographical and functional level</w:t>
            </w:r>
            <w:r w:rsidRPr="0052427E">
              <w:rPr>
                <w:rFonts w:asciiTheme="minorHAnsi" w:hAnsiTheme="minorHAnsi" w:cstheme="minorHAnsi"/>
              </w:rPr>
              <w:t>, so as to:</w:t>
            </w:r>
          </w:p>
          <w:p w:rsidR="00FD0FDC" w:rsidRPr="0052427E" w:rsidRDefault="00FD0FDC" w:rsidP="001A7C99">
            <w:pPr>
              <w:pStyle w:val="ListParagraph"/>
              <w:numPr>
                <w:ilvl w:val="0"/>
                <w:numId w:val="39"/>
              </w:numPr>
              <w:spacing w:before="120" w:after="120"/>
              <w:ind w:left="360"/>
              <w:contextualSpacing w:val="0"/>
              <w:rPr>
                <w:rFonts w:asciiTheme="minorHAnsi" w:hAnsiTheme="minorHAnsi" w:cstheme="minorHAnsi"/>
              </w:rPr>
            </w:pPr>
            <w:r w:rsidRPr="0052427E">
              <w:rPr>
                <w:rFonts w:asciiTheme="minorHAnsi" w:hAnsiTheme="minorHAnsi" w:cstheme="minorHAnsi"/>
              </w:rPr>
              <w:t xml:space="preserve">enhance its ability to engage and connect with a highly diverse and evolving sector </w:t>
            </w:r>
          </w:p>
          <w:p w:rsidR="001A7C99" w:rsidRPr="0052427E" w:rsidRDefault="001A7C99" w:rsidP="001A7C99">
            <w:pPr>
              <w:pStyle w:val="ListParagraph"/>
              <w:numPr>
                <w:ilvl w:val="0"/>
                <w:numId w:val="39"/>
              </w:numPr>
              <w:spacing w:before="120" w:after="120"/>
              <w:ind w:left="360"/>
              <w:contextualSpacing w:val="0"/>
              <w:rPr>
                <w:rFonts w:asciiTheme="minorHAnsi" w:hAnsiTheme="minorHAnsi" w:cstheme="minorHAnsi"/>
              </w:rPr>
            </w:pPr>
            <w:r w:rsidRPr="0052427E">
              <w:rPr>
                <w:rFonts w:asciiTheme="minorHAnsi" w:hAnsiTheme="minorHAnsi" w:cstheme="minorHAnsi"/>
              </w:rPr>
              <w:t xml:space="preserve">build effective partnerships and alliances with sector peak bodies, research bodies and other relevant government advisory groups, such as the Partnership </w:t>
            </w:r>
          </w:p>
          <w:p w:rsidR="00FD0FDC" w:rsidRPr="0052427E" w:rsidRDefault="00FD0FDC" w:rsidP="001A7C99">
            <w:pPr>
              <w:pStyle w:val="ListParagraph"/>
              <w:numPr>
                <w:ilvl w:val="0"/>
                <w:numId w:val="39"/>
              </w:numPr>
              <w:spacing w:before="120" w:after="120"/>
              <w:ind w:left="360"/>
              <w:contextualSpacing w:val="0"/>
              <w:rPr>
                <w:rFonts w:asciiTheme="minorHAnsi" w:hAnsiTheme="minorHAnsi" w:cstheme="minorHAnsi"/>
              </w:rPr>
            </w:pPr>
            <w:r w:rsidRPr="0052427E">
              <w:rPr>
                <w:rFonts w:asciiTheme="minorHAnsi" w:hAnsiTheme="minorHAnsi" w:cstheme="minorHAnsi"/>
              </w:rPr>
              <w:t>ensure it has appropriate and balanced Board representation from the sector, donors</w:t>
            </w:r>
            <w:r w:rsidR="00B76492">
              <w:rPr>
                <w:rFonts w:asciiTheme="minorHAnsi" w:hAnsiTheme="minorHAnsi" w:cstheme="minorHAnsi"/>
              </w:rPr>
              <w:t xml:space="preserve"> and</w:t>
            </w:r>
            <w:r w:rsidR="0052427E">
              <w:rPr>
                <w:rFonts w:asciiTheme="minorHAnsi" w:hAnsiTheme="minorHAnsi" w:cstheme="minorHAnsi"/>
              </w:rPr>
              <w:t xml:space="preserve"> </w:t>
            </w:r>
            <w:r w:rsidRPr="0052427E">
              <w:rPr>
                <w:rFonts w:asciiTheme="minorHAnsi" w:hAnsiTheme="minorHAnsi" w:cstheme="minorHAnsi"/>
              </w:rPr>
              <w:t>investors</w:t>
            </w:r>
            <w:r w:rsidR="0052427E">
              <w:rPr>
                <w:rFonts w:asciiTheme="minorHAnsi" w:hAnsiTheme="minorHAnsi" w:cstheme="minorHAnsi"/>
              </w:rPr>
              <w:t xml:space="preserve"> and</w:t>
            </w:r>
            <w:r w:rsidRPr="0052427E">
              <w:rPr>
                <w:rFonts w:asciiTheme="minorHAnsi" w:hAnsiTheme="minorHAnsi" w:cstheme="minorHAnsi"/>
              </w:rPr>
              <w:t xml:space="preserve"> government, and</w:t>
            </w:r>
          </w:p>
          <w:p w:rsidR="000B7E48" w:rsidRDefault="00CE5CF4" w:rsidP="001A7C99">
            <w:pPr>
              <w:pStyle w:val="ListParagraph"/>
              <w:numPr>
                <w:ilvl w:val="0"/>
                <w:numId w:val="39"/>
              </w:numPr>
              <w:spacing w:before="120" w:after="120"/>
              <w:ind w:left="360"/>
              <w:contextualSpacing w:val="0"/>
              <w:rPr>
                <w:rFonts w:asciiTheme="minorHAnsi" w:hAnsiTheme="minorHAnsi" w:cstheme="minorHAnsi"/>
              </w:rPr>
            </w:pPr>
            <w:r w:rsidRPr="0052427E">
              <w:rPr>
                <w:rFonts w:asciiTheme="minorHAnsi" w:hAnsiTheme="minorHAnsi" w:cstheme="minorHAnsi"/>
              </w:rPr>
              <w:t xml:space="preserve">enable it to </w:t>
            </w:r>
            <w:r w:rsidR="00FD0FDC" w:rsidRPr="0052427E">
              <w:rPr>
                <w:rFonts w:asciiTheme="minorHAnsi" w:hAnsiTheme="minorHAnsi" w:cstheme="minorHAnsi"/>
              </w:rPr>
              <w:t>deliver valuable insights and advice to the Commissioner and to the Minister</w:t>
            </w:r>
            <w:r w:rsidRPr="0052427E">
              <w:rPr>
                <w:rFonts w:asciiTheme="minorHAnsi" w:hAnsiTheme="minorHAnsi" w:cstheme="minorHAnsi"/>
              </w:rPr>
              <w:t>, whether on request or self-initiated</w:t>
            </w:r>
            <w:r w:rsidR="00FD0FDC" w:rsidRPr="0052427E">
              <w:rPr>
                <w:rFonts w:asciiTheme="minorHAnsi" w:hAnsiTheme="minorHAnsi" w:cstheme="minorHAnsi"/>
              </w:rPr>
              <w:t>.</w:t>
            </w:r>
          </w:p>
          <w:p w:rsidR="00780545" w:rsidRPr="00780545" w:rsidRDefault="00780545" w:rsidP="00780545">
            <w:pPr>
              <w:spacing w:before="120" w:after="120"/>
              <w:rPr>
                <w:rFonts w:asciiTheme="minorHAnsi" w:hAnsiTheme="minorHAnsi" w:cstheme="minorHAnsi"/>
              </w:rPr>
            </w:pPr>
            <w:r>
              <w:rPr>
                <w:rFonts w:asciiTheme="minorHAnsi" w:hAnsiTheme="minorHAnsi" w:cstheme="minorHAnsi"/>
              </w:rPr>
              <w:t>C</w:t>
            </w:r>
            <w:r w:rsidRPr="00780545">
              <w:rPr>
                <w:rFonts w:asciiTheme="minorHAnsi" w:hAnsiTheme="minorHAnsi" w:cstheme="minorHAnsi"/>
              </w:rPr>
              <w:t>onsider whether the Board should be Ministerially appointed, but ensure all stakeholders views are reflected in its’ membership and with some capacity to co-op</w:t>
            </w:r>
            <w:r w:rsidR="00C00532">
              <w:rPr>
                <w:rFonts w:asciiTheme="minorHAnsi" w:hAnsiTheme="minorHAnsi" w:cstheme="minorHAnsi"/>
              </w:rPr>
              <w:t>t</w:t>
            </w:r>
            <w:r w:rsidRPr="00780545">
              <w:rPr>
                <w:rFonts w:asciiTheme="minorHAnsi" w:hAnsiTheme="minorHAnsi" w:cstheme="minorHAnsi"/>
              </w:rPr>
              <w:t xml:space="preserve"> youth or Indigenous representatives or particular subject matter experts on a rotating or as needs basis.</w:t>
            </w:r>
          </w:p>
        </w:tc>
      </w:tr>
      <w:tr w:rsidR="00E97B0F" w:rsidRPr="00E97B0F" w:rsidTr="00B72FB0">
        <w:tc>
          <w:tcPr>
            <w:tcW w:w="495" w:type="dxa"/>
          </w:tcPr>
          <w:p w:rsidR="00E97B0F" w:rsidRPr="00E97B0F" w:rsidRDefault="00C60AE1" w:rsidP="00C60AE1">
            <w:pPr>
              <w:spacing w:before="120" w:after="120"/>
              <w:rPr>
                <w:rFonts w:asciiTheme="minorHAnsi" w:hAnsiTheme="minorHAnsi" w:cstheme="minorHAnsi"/>
              </w:rPr>
            </w:pPr>
            <w:r>
              <w:rPr>
                <w:rFonts w:asciiTheme="minorHAnsi" w:hAnsiTheme="minorHAnsi" w:cstheme="minorHAnsi"/>
              </w:rPr>
              <w:t>3</w:t>
            </w:r>
            <w:r w:rsidR="00E97B0F" w:rsidRPr="00E97B0F">
              <w:rPr>
                <w:rFonts w:asciiTheme="minorHAnsi" w:hAnsiTheme="minorHAnsi" w:cstheme="minorHAnsi"/>
              </w:rPr>
              <w:t>.</w:t>
            </w:r>
          </w:p>
        </w:tc>
        <w:tc>
          <w:tcPr>
            <w:tcW w:w="8969" w:type="dxa"/>
          </w:tcPr>
          <w:p w:rsidR="00EE1318" w:rsidRPr="00741956" w:rsidRDefault="00741956" w:rsidP="00FE6325">
            <w:pPr>
              <w:spacing w:before="120" w:after="120"/>
              <w:rPr>
                <w:rFonts w:asciiTheme="minorHAnsi" w:hAnsiTheme="minorHAnsi" w:cstheme="minorHAnsi"/>
                <w:b/>
                <w:i/>
              </w:rPr>
            </w:pPr>
            <w:r w:rsidRPr="00741956">
              <w:rPr>
                <w:rFonts w:asciiTheme="minorHAnsi" w:hAnsiTheme="minorHAnsi" w:cstheme="minorHAnsi"/>
                <w:b/>
                <w:i/>
              </w:rPr>
              <w:t>Object 1 – Legislative review and possible amendments</w:t>
            </w:r>
          </w:p>
          <w:p w:rsidR="00417C60" w:rsidRDefault="00E97B0F" w:rsidP="00FE6325">
            <w:pPr>
              <w:spacing w:before="120" w:after="120"/>
              <w:rPr>
                <w:rFonts w:asciiTheme="minorHAnsi" w:hAnsiTheme="minorHAnsi" w:cstheme="minorHAnsi"/>
              </w:rPr>
            </w:pPr>
            <w:r w:rsidRPr="00E97B0F">
              <w:rPr>
                <w:rFonts w:asciiTheme="minorHAnsi" w:hAnsiTheme="minorHAnsi" w:cstheme="minorHAnsi"/>
              </w:rPr>
              <w:t xml:space="preserve">Consider </w:t>
            </w:r>
            <w:r w:rsidR="006B68F1">
              <w:rPr>
                <w:rFonts w:asciiTheme="minorHAnsi" w:hAnsiTheme="minorHAnsi" w:cstheme="minorHAnsi"/>
              </w:rPr>
              <w:t xml:space="preserve">that while the Partnership is in broad agreement </w:t>
            </w:r>
            <w:r w:rsidR="00417C60">
              <w:rPr>
                <w:rFonts w:asciiTheme="minorHAnsi" w:hAnsiTheme="minorHAnsi" w:cstheme="minorHAnsi"/>
              </w:rPr>
              <w:t>with the ACNC proposed amendments to the secrecy and disclosure provisions of the AC</w:t>
            </w:r>
            <w:r w:rsidR="002D4DCC">
              <w:rPr>
                <w:rFonts w:asciiTheme="minorHAnsi" w:hAnsiTheme="minorHAnsi" w:cstheme="minorHAnsi"/>
              </w:rPr>
              <w:t>NC</w:t>
            </w:r>
            <w:r w:rsidR="00417C60">
              <w:rPr>
                <w:rFonts w:asciiTheme="minorHAnsi" w:hAnsiTheme="minorHAnsi" w:cstheme="minorHAnsi"/>
              </w:rPr>
              <w:t xml:space="preserve"> Act, this is with the following caveats:</w:t>
            </w:r>
          </w:p>
          <w:p w:rsidR="00E97B0F" w:rsidRPr="00E97B0F" w:rsidRDefault="00417C60" w:rsidP="005131E3">
            <w:pPr>
              <w:numPr>
                <w:ilvl w:val="0"/>
                <w:numId w:val="24"/>
              </w:numPr>
              <w:spacing w:before="120" w:after="120"/>
              <w:ind w:left="357" w:hanging="357"/>
              <w:rPr>
                <w:rFonts w:asciiTheme="minorHAnsi" w:hAnsiTheme="minorHAnsi" w:cstheme="minorHAnsi"/>
              </w:rPr>
            </w:pPr>
            <w:r>
              <w:rPr>
                <w:rFonts w:asciiTheme="minorHAnsi" w:hAnsiTheme="minorHAnsi" w:cstheme="minorHAnsi"/>
              </w:rPr>
              <w:t>the need to e</w:t>
            </w:r>
            <w:r w:rsidR="00E97B0F" w:rsidRPr="00E97B0F">
              <w:rPr>
                <w:rFonts w:asciiTheme="minorHAnsi" w:hAnsiTheme="minorHAnsi" w:cstheme="minorHAnsi"/>
              </w:rPr>
              <w:t>xercis</w:t>
            </w:r>
            <w:r>
              <w:rPr>
                <w:rFonts w:asciiTheme="minorHAnsi" w:hAnsiTheme="minorHAnsi" w:cstheme="minorHAnsi"/>
              </w:rPr>
              <w:t>e</w:t>
            </w:r>
            <w:r w:rsidR="00E97B0F" w:rsidRPr="00E97B0F">
              <w:rPr>
                <w:rFonts w:asciiTheme="minorHAnsi" w:hAnsiTheme="minorHAnsi" w:cstheme="minorHAnsi"/>
              </w:rPr>
              <w:t xml:space="preserve"> caution </w:t>
            </w:r>
            <w:r>
              <w:rPr>
                <w:rFonts w:asciiTheme="minorHAnsi" w:hAnsiTheme="minorHAnsi" w:cstheme="minorHAnsi"/>
              </w:rPr>
              <w:t xml:space="preserve">making any amendments, in order </w:t>
            </w:r>
            <w:r w:rsidR="00E97B0F" w:rsidRPr="00E97B0F">
              <w:rPr>
                <w:rFonts w:asciiTheme="minorHAnsi" w:hAnsiTheme="minorHAnsi" w:cstheme="minorHAnsi"/>
              </w:rPr>
              <w:t xml:space="preserve">to protect the privacy rights of charities (and their board members, staff, volunteers and donors) by </w:t>
            </w:r>
            <w:r w:rsidR="00486423">
              <w:rPr>
                <w:rFonts w:asciiTheme="minorHAnsi" w:hAnsiTheme="minorHAnsi" w:cstheme="minorHAnsi"/>
              </w:rPr>
              <w:t xml:space="preserve">the ACNC </w:t>
            </w:r>
            <w:r w:rsidR="00E97B0F" w:rsidRPr="00E97B0F">
              <w:rPr>
                <w:rFonts w:asciiTheme="minorHAnsi" w:hAnsiTheme="minorHAnsi" w:cstheme="minorHAnsi"/>
              </w:rPr>
              <w:t>undertaking consultation with the sector and appropriate bodies such as the Office of the Australian Information Commissioner, and</w:t>
            </w:r>
          </w:p>
          <w:p w:rsidR="00E97B0F" w:rsidRPr="00E97B0F" w:rsidRDefault="00417C60" w:rsidP="005131E3">
            <w:pPr>
              <w:numPr>
                <w:ilvl w:val="0"/>
                <w:numId w:val="24"/>
              </w:numPr>
              <w:spacing w:before="120" w:after="120"/>
              <w:ind w:left="357" w:hanging="357"/>
              <w:rPr>
                <w:rFonts w:asciiTheme="minorHAnsi" w:hAnsiTheme="minorHAnsi" w:cstheme="minorHAnsi"/>
              </w:rPr>
            </w:pPr>
            <w:r>
              <w:rPr>
                <w:rFonts w:asciiTheme="minorHAnsi" w:hAnsiTheme="minorHAnsi" w:cstheme="minorHAnsi"/>
              </w:rPr>
              <w:t>any amendments are made h</w:t>
            </w:r>
            <w:r w:rsidR="00E97B0F" w:rsidRPr="00E97B0F">
              <w:rPr>
                <w:rFonts w:asciiTheme="minorHAnsi" w:hAnsiTheme="minorHAnsi" w:cstheme="minorHAnsi"/>
              </w:rPr>
              <w:t xml:space="preserve">aving due regard to the core regulatory principles and key values espoused in the </w:t>
            </w:r>
            <w:r w:rsidR="00E97B0F" w:rsidRPr="00E97B0F">
              <w:rPr>
                <w:rFonts w:asciiTheme="minorHAnsi" w:hAnsiTheme="minorHAnsi" w:cstheme="minorHAnsi"/>
                <w:i/>
              </w:rPr>
              <w:t>ACNC Regulatory Approach Statement</w:t>
            </w:r>
            <w:r w:rsidR="00E97B0F" w:rsidRPr="00E97B0F">
              <w:rPr>
                <w:rFonts w:asciiTheme="minorHAnsi" w:hAnsiTheme="minorHAnsi" w:cstheme="minorHAnsi"/>
              </w:rPr>
              <w:t xml:space="preserve">. </w:t>
            </w:r>
          </w:p>
        </w:tc>
      </w:tr>
      <w:tr w:rsidR="00E97B0F" w:rsidRPr="00E97B0F" w:rsidTr="00B72FB0">
        <w:tc>
          <w:tcPr>
            <w:tcW w:w="495" w:type="dxa"/>
          </w:tcPr>
          <w:p w:rsidR="00E97B0F" w:rsidRPr="00E97B0F" w:rsidRDefault="00C60AE1" w:rsidP="00C60AE1">
            <w:pPr>
              <w:spacing w:before="120" w:after="120"/>
              <w:rPr>
                <w:rFonts w:asciiTheme="minorHAnsi" w:hAnsiTheme="minorHAnsi" w:cstheme="minorHAnsi"/>
              </w:rPr>
            </w:pPr>
            <w:r>
              <w:rPr>
                <w:rFonts w:asciiTheme="minorHAnsi" w:hAnsiTheme="minorHAnsi" w:cstheme="minorHAnsi"/>
              </w:rPr>
              <w:t>4</w:t>
            </w:r>
            <w:r w:rsidR="00E97B0F" w:rsidRPr="00E97B0F">
              <w:rPr>
                <w:rFonts w:asciiTheme="minorHAnsi" w:hAnsiTheme="minorHAnsi" w:cstheme="minorHAnsi"/>
              </w:rPr>
              <w:t>.</w:t>
            </w:r>
          </w:p>
        </w:tc>
        <w:tc>
          <w:tcPr>
            <w:tcW w:w="8969" w:type="dxa"/>
          </w:tcPr>
          <w:p w:rsidR="00CA69B6" w:rsidRPr="00CA69B6" w:rsidRDefault="00CA69B6" w:rsidP="00FE6325">
            <w:pPr>
              <w:spacing w:before="120" w:after="120"/>
              <w:rPr>
                <w:rFonts w:asciiTheme="minorHAnsi" w:hAnsiTheme="minorHAnsi" w:cstheme="minorHAnsi"/>
                <w:b/>
                <w:i/>
              </w:rPr>
            </w:pPr>
            <w:r w:rsidRPr="00CA69B6">
              <w:rPr>
                <w:rFonts w:asciiTheme="minorHAnsi" w:hAnsiTheme="minorHAnsi" w:cstheme="minorHAnsi"/>
                <w:b/>
                <w:i/>
              </w:rPr>
              <w:t>Object 1 – Extending the ACNC regulatory framework</w:t>
            </w:r>
          </w:p>
          <w:p w:rsidR="00363B56" w:rsidRDefault="00E97B0F" w:rsidP="00FE6325">
            <w:pPr>
              <w:spacing w:before="120" w:after="120"/>
              <w:rPr>
                <w:rFonts w:asciiTheme="minorHAnsi" w:hAnsiTheme="minorHAnsi" w:cstheme="minorHAnsi"/>
              </w:rPr>
            </w:pPr>
            <w:r w:rsidRPr="00E97B0F">
              <w:rPr>
                <w:rFonts w:asciiTheme="minorHAnsi" w:hAnsiTheme="minorHAnsi" w:cstheme="minorHAnsi"/>
              </w:rPr>
              <w:t xml:space="preserve">Consider that any extension of the ACNC regulatory framework beyond just registered charities to cover other classes of not-for-profits </w:t>
            </w:r>
            <w:r w:rsidR="00E7402E">
              <w:rPr>
                <w:rFonts w:asciiTheme="minorHAnsi" w:hAnsiTheme="minorHAnsi" w:cstheme="minorHAnsi"/>
              </w:rPr>
              <w:t xml:space="preserve">(NFPs) </w:t>
            </w:r>
            <w:r w:rsidRPr="00E97B0F">
              <w:rPr>
                <w:rFonts w:asciiTheme="minorHAnsi" w:hAnsiTheme="minorHAnsi" w:cstheme="minorHAnsi"/>
              </w:rPr>
              <w:t>needs</w:t>
            </w:r>
            <w:r w:rsidR="00363B56">
              <w:rPr>
                <w:rFonts w:asciiTheme="minorHAnsi" w:hAnsiTheme="minorHAnsi" w:cstheme="minorHAnsi"/>
              </w:rPr>
              <w:t xml:space="preserve"> to:</w:t>
            </w:r>
          </w:p>
          <w:p w:rsidR="00E97B0F" w:rsidRPr="00363B56" w:rsidRDefault="00E97B0F" w:rsidP="005131E3">
            <w:pPr>
              <w:pStyle w:val="ListParagraph"/>
              <w:numPr>
                <w:ilvl w:val="0"/>
                <w:numId w:val="27"/>
              </w:numPr>
              <w:spacing w:before="120" w:after="120"/>
              <w:ind w:left="357" w:hanging="357"/>
              <w:rPr>
                <w:rFonts w:asciiTheme="minorHAnsi" w:hAnsiTheme="minorHAnsi" w:cstheme="minorHAnsi"/>
              </w:rPr>
            </w:pPr>
            <w:r w:rsidRPr="00363B56">
              <w:rPr>
                <w:rFonts w:asciiTheme="minorHAnsi" w:hAnsiTheme="minorHAnsi" w:cstheme="minorHAnsi"/>
              </w:rPr>
              <w:t>be proportionate to the risks</w:t>
            </w:r>
            <w:r w:rsidR="00CB42D1">
              <w:rPr>
                <w:rFonts w:asciiTheme="minorHAnsi" w:hAnsiTheme="minorHAnsi" w:cstheme="minorHAnsi"/>
              </w:rPr>
              <w:t xml:space="preserve"> </w:t>
            </w:r>
            <w:r w:rsidR="00CB42D1" w:rsidRPr="0052427E">
              <w:rPr>
                <w:rFonts w:asciiTheme="minorHAnsi" w:hAnsiTheme="minorHAnsi" w:cstheme="minorHAnsi"/>
              </w:rPr>
              <w:t>as well as the potential benefits</w:t>
            </w:r>
            <w:r w:rsidRPr="00363B56">
              <w:rPr>
                <w:rFonts w:asciiTheme="minorHAnsi" w:hAnsiTheme="minorHAnsi" w:cstheme="minorHAnsi"/>
              </w:rPr>
              <w:t>:</w:t>
            </w:r>
          </w:p>
          <w:p w:rsidR="00E97B0F" w:rsidRDefault="00363B56" w:rsidP="00FE6325">
            <w:pPr>
              <w:spacing w:before="120" w:after="120"/>
              <w:ind w:left="357"/>
              <w:rPr>
                <w:rFonts w:asciiTheme="minorHAnsi" w:hAnsiTheme="minorHAnsi" w:cstheme="minorHAnsi"/>
              </w:rPr>
            </w:pPr>
            <w:r>
              <w:rPr>
                <w:rFonts w:asciiTheme="minorHAnsi" w:hAnsiTheme="minorHAnsi" w:cstheme="minorHAnsi"/>
              </w:rPr>
              <w:t xml:space="preserve">(i) </w:t>
            </w:r>
            <w:r w:rsidR="00AC0EBE">
              <w:rPr>
                <w:rFonts w:asciiTheme="minorHAnsi" w:hAnsiTheme="minorHAnsi" w:cstheme="minorHAnsi"/>
              </w:rPr>
              <w:t xml:space="preserve">many </w:t>
            </w:r>
            <w:r w:rsidR="00E97B0F" w:rsidRPr="00E97B0F">
              <w:rPr>
                <w:rFonts w:asciiTheme="minorHAnsi" w:hAnsiTheme="minorHAnsi" w:cstheme="minorHAnsi"/>
              </w:rPr>
              <w:t xml:space="preserve">NFPs have no </w:t>
            </w:r>
            <w:r w:rsidR="00AC0EBE">
              <w:rPr>
                <w:rFonts w:asciiTheme="minorHAnsi" w:hAnsiTheme="minorHAnsi" w:cstheme="minorHAnsi"/>
              </w:rPr>
              <w:t xml:space="preserve">or only a minimal </w:t>
            </w:r>
            <w:r w:rsidR="00E97B0F" w:rsidRPr="00E97B0F">
              <w:rPr>
                <w:rFonts w:asciiTheme="minorHAnsi" w:hAnsiTheme="minorHAnsi" w:cstheme="minorHAnsi"/>
              </w:rPr>
              <w:t>legal form, operate for the mutual benefit of members and are low risk in terms of likely breaches of public trust – would compliance costs outweigh expected benefits?</w:t>
            </w:r>
          </w:p>
          <w:p w:rsidR="00B04F88" w:rsidRDefault="00B04F88" w:rsidP="00FE6325">
            <w:pPr>
              <w:spacing w:before="120" w:after="120"/>
              <w:ind w:left="357"/>
              <w:rPr>
                <w:rFonts w:asciiTheme="minorHAnsi" w:hAnsiTheme="minorHAnsi" w:cstheme="minorHAnsi"/>
              </w:rPr>
            </w:pPr>
            <w:r>
              <w:rPr>
                <w:rFonts w:asciiTheme="minorHAnsi" w:hAnsiTheme="minorHAnsi" w:cstheme="minorHAnsi"/>
              </w:rPr>
              <w:t xml:space="preserve">(ii) whether the costs and risks associated with extension of the framework are proportionate to the actual or perceived problem(s) its seeks to address and the anticipated benefits for the sector, government and the public </w:t>
            </w:r>
          </w:p>
          <w:p w:rsidR="008776B1" w:rsidRDefault="008776B1" w:rsidP="00FE6325">
            <w:pPr>
              <w:spacing w:before="120" w:after="120"/>
              <w:ind w:left="357"/>
              <w:rPr>
                <w:rFonts w:asciiTheme="minorHAnsi" w:hAnsiTheme="minorHAnsi" w:cstheme="minorHAnsi"/>
              </w:rPr>
            </w:pPr>
            <w:r>
              <w:rPr>
                <w:rFonts w:asciiTheme="minorHAnsi" w:hAnsiTheme="minorHAnsi" w:cstheme="minorHAnsi"/>
              </w:rPr>
              <w:t xml:space="preserve">(iii) </w:t>
            </w:r>
            <w:r w:rsidRPr="008776B1">
              <w:rPr>
                <w:rFonts w:asciiTheme="minorHAnsi" w:hAnsiTheme="minorHAnsi" w:cstheme="minorHAnsi"/>
              </w:rPr>
              <w:t xml:space="preserve">unintended effects or perverse consequences of extending the framework, such as </w:t>
            </w:r>
            <w:r w:rsidR="00437834">
              <w:rPr>
                <w:rFonts w:asciiTheme="minorHAnsi" w:hAnsiTheme="minorHAnsi" w:cstheme="minorHAnsi"/>
              </w:rPr>
              <w:t>additional compliance burden for a</w:t>
            </w:r>
            <w:r w:rsidRPr="008776B1">
              <w:rPr>
                <w:rFonts w:asciiTheme="minorHAnsi" w:hAnsiTheme="minorHAnsi" w:cstheme="minorHAnsi"/>
              </w:rPr>
              <w:t xml:space="preserve"> significant number of small incorporated NFPs which currently operate under minimal reporting requirements to state/territory authorities</w:t>
            </w:r>
          </w:p>
          <w:p w:rsidR="00A12A71" w:rsidRDefault="00A12A71" w:rsidP="00FE6325">
            <w:pPr>
              <w:spacing w:before="120" w:after="120"/>
              <w:ind w:left="357"/>
              <w:rPr>
                <w:rFonts w:asciiTheme="minorHAnsi" w:hAnsiTheme="minorHAnsi" w:cstheme="minorHAnsi"/>
              </w:rPr>
            </w:pPr>
            <w:r>
              <w:rPr>
                <w:rFonts w:asciiTheme="minorHAnsi" w:hAnsiTheme="minorHAnsi" w:cstheme="minorHAnsi"/>
              </w:rPr>
              <w:t xml:space="preserve">(iv) </w:t>
            </w:r>
            <w:r w:rsidRPr="00A12A71">
              <w:rPr>
                <w:rFonts w:asciiTheme="minorHAnsi" w:hAnsiTheme="minorHAnsi" w:cstheme="minorHAnsi"/>
              </w:rPr>
              <w:t>the sector is not homogenous, it is highly diverse which suggests a highly unequal distribution of effects and outcomes for charity and non-charity NFPs – large and small - across the entire sector</w:t>
            </w:r>
          </w:p>
          <w:p w:rsidR="00CB42D1" w:rsidRDefault="00CB42D1" w:rsidP="00FE6325">
            <w:pPr>
              <w:spacing w:before="120" w:after="120"/>
              <w:ind w:left="357"/>
              <w:rPr>
                <w:rFonts w:asciiTheme="minorHAnsi" w:hAnsiTheme="minorHAnsi" w:cstheme="minorHAnsi"/>
              </w:rPr>
            </w:pPr>
            <w:r w:rsidRPr="00B84DF7">
              <w:rPr>
                <w:rFonts w:asciiTheme="minorHAnsi" w:hAnsiTheme="minorHAnsi" w:cstheme="minorHAnsi"/>
              </w:rPr>
              <w:t xml:space="preserve">(v) the possible pathways (and transitions) to extend appropriate </w:t>
            </w:r>
            <w:r w:rsidR="005B32D5" w:rsidRPr="00B84DF7">
              <w:rPr>
                <w:rFonts w:asciiTheme="minorHAnsi" w:hAnsiTheme="minorHAnsi" w:cstheme="minorHAnsi"/>
              </w:rPr>
              <w:t xml:space="preserve">levels of </w:t>
            </w:r>
            <w:r w:rsidRPr="00B84DF7">
              <w:rPr>
                <w:rFonts w:asciiTheme="minorHAnsi" w:hAnsiTheme="minorHAnsi" w:cstheme="minorHAnsi"/>
              </w:rPr>
              <w:t xml:space="preserve">regulation to different classes of </w:t>
            </w:r>
            <w:r w:rsidR="001A7C99" w:rsidRPr="00B84DF7">
              <w:rPr>
                <w:rFonts w:asciiTheme="minorHAnsi" w:hAnsiTheme="minorHAnsi" w:cstheme="minorHAnsi"/>
              </w:rPr>
              <w:t xml:space="preserve">non-charity </w:t>
            </w:r>
            <w:r w:rsidRPr="00B84DF7">
              <w:rPr>
                <w:rFonts w:asciiTheme="minorHAnsi" w:hAnsiTheme="minorHAnsi" w:cstheme="minorHAnsi"/>
              </w:rPr>
              <w:t>NFPs (such as Co-Ops and Mutuals)</w:t>
            </w:r>
          </w:p>
          <w:p w:rsidR="00690B2E" w:rsidRDefault="00A12A71" w:rsidP="00FE6325">
            <w:pPr>
              <w:spacing w:before="120" w:after="120"/>
              <w:ind w:left="357"/>
              <w:rPr>
                <w:rFonts w:asciiTheme="minorHAnsi" w:hAnsiTheme="minorHAnsi" w:cstheme="minorHAnsi"/>
              </w:rPr>
            </w:pPr>
            <w:r>
              <w:rPr>
                <w:rFonts w:asciiTheme="minorHAnsi" w:hAnsiTheme="minorHAnsi" w:cstheme="minorHAnsi"/>
              </w:rPr>
              <w:t>(</w:t>
            </w:r>
            <w:r w:rsidR="00690B2E">
              <w:rPr>
                <w:rFonts w:asciiTheme="minorHAnsi" w:hAnsiTheme="minorHAnsi" w:cstheme="minorHAnsi"/>
              </w:rPr>
              <w:t>v</w:t>
            </w:r>
            <w:r w:rsidR="00CB42D1">
              <w:rPr>
                <w:rFonts w:asciiTheme="minorHAnsi" w:hAnsiTheme="minorHAnsi" w:cstheme="minorHAnsi"/>
              </w:rPr>
              <w:t>i</w:t>
            </w:r>
            <w:r w:rsidR="00690B2E">
              <w:rPr>
                <w:rFonts w:asciiTheme="minorHAnsi" w:hAnsiTheme="minorHAnsi" w:cstheme="minorHAnsi"/>
              </w:rPr>
              <w:t xml:space="preserve">) the need to harmonise or streamline ACNC regulatory reporting and </w:t>
            </w:r>
            <w:r w:rsidR="00690B2E" w:rsidRPr="00690B2E">
              <w:rPr>
                <w:rFonts w:asciiTheme="minorHAnsi" w:hAnsiTheme="minorHAnsi" w:cstheme="minorHAnsi"/>
              </w:rPr>
              <w:t xml:space="preserve">reporting requirements </w:t>
            </w:r>
            <w:r w:rsidR="00690B2E">
              <w:rPr>
                <w:rFonts w:asciiTheme="minorHAnsi" w:hAnsiTheme="minorHAnsi" w:cstheme="minorHAnsi"/>
              </w:rPr>
              <w:t xml:space="preserve">of </w:t>
            </w:r>
            <w:r w:rsidR="00690B2E" w:rsidRPr="00690B2E">
              <w:rPr>
                <w:rFonts w:asciiTheme="minorHAnsi" w:hAnsiTheme="minorHAnsi" w:cstheme="minorHAnsi"/>
              </w:rPr>
              <w:t>state/territory authorities</w:t>
            </w:r>
            <w:r w:rsidR="00690B2E">
              <w:rPr>
                <w:rFonts w:asciiTheme="minorHAnsi" w:hAnsiTheme="minorHAnsi" w:cstheme="minorHAnsi"/>
              </w:rPr>
              <w:t xml:space="preserve"> (e.g. annual filing of returns and fees) for a large number of </w:t>
            </w:r>
            <w:r w:rsidR="00690B2E" w:rsidRPr="00690B2E">
              <w:rPr>
                <w:rFonts w:asciiTheme="minorHAnsi" w:hAnsiTheme="minorHAnsi" w:cstheme="minorHAnsi"/>
              </w:rPr>
              <w:t>small incorporated NFPs</w:t>
            </w:r>
          </w:p>
          <w:p w:rsidR="00F5186E" w:rsidRDefault="003E3DA1" w:rsidP="00FE6325">
            <w:pPr>
              <w:spacing w:before="120" w:after="120"/>
              <w:ind w:left="357"/>
              <w:rPr>
                <w:rFonts w:asciiTheme="minorHAnsi" w:hAnsiTheme="minorHAnsi" w:cstheme="minorHAnsi"/>
              </w:rPr>
            </w:pPr>
            <w:r>
              <w:rPr>
                <w:rFonts w:asciiTheme="minorHAnsi" w:hAnsiTheme="minorHAnsi" w:cstheme="minorHAnsi"/>
              </w:rPr>
              <w:t>(v</w:t>
            </w:r>
            <w:r w:rsidR="00A12A71">
              <w:rPr>
                <w:rFonts w:asciiTheme="minorHAnsi" w:hAnsiTheme="minorHAnsi" w:cstheme="minorHAnsi"/>
              </w:rPr>
              <w:t>i</w:t>
            </w:r>
            <w:r w:rsidR="00CB42D1">
              <w:rPr>
                <w:rFonts w:asciiTheme="minorHAnsi" w:hAnsiTheme="minorHAnsi" w:cstheme="minorHAnsi"/>
              </w:rPr>
              <w:t>i</w:t>
            </w:r>
            <w:r>
              <w:rPr>
                <w:rFonts w:asciiTheme="minorHAnsi" w:hAnsiTheme="minorHAnsi" w:cstheme="minorHAnsi"/>
              </w:rPr>
              <w:t xml:space="preserve">) </w:t>
            </w:r>
            <w:r w:rsidR="009B5174">
              <w:rPr>
                <w:rFonts w:asciiTheme="minorHAnsi" w:hAnsiTheme="minorHAnsi" w:cstheme="minorHAnsi"/>
              </w:rPr>
              <w:t>a lack of effective sanctions or penalties the ACNC could exercise to ensure compliance from non-charity NFPs who come under the ACNC regulatory framework</w:t>
            </w:r>
          </w:p>
          <w:p w:rsidR="00C15AC6" w:rsidRDefault="003E3DA1" w:rsidP="00FE6325">
            <w:pPr>
              <w:spacing w:before="120" w:after="120"/>
              <w:ind w:left="357"/>
              <w:rPr>
                <w:rFonts w:asciiTheme="minorHAnsi" w:hAnsiTheme="minorHAnsi" w:cstheme="minorHAnsi"/>
              </w:rPr>
            </w:pPr>
            <w:r>
              <w:rPr>
                <w:rFonts w:asciiTheme="minorHAnsi" w:hAnsiTheme="minorHAnsi" w:cstheme="minorHAnsi"/>
              </w:rPr>
              <w:t>(</w:t>
            </w:r>
            <w:r w:rsidR="008776B1">
              <w:rPr>
                <w:rFonts w:asciiTheme="minorHAnsi" w:hAnsiTheme="minorHAnsi" w:cstheme="minorHAnsi"/>
              </w:rPr>
              <w:t>v</w:t>
            </w:r>
            <w:r>
              <w:rPr>
                <w:rFonts w:asciiTheme="minorHAnsi" w:hAnsiTheme="minorHAnsi" w:cstheme="minorHAnsi"/>
              </w:rPr>
              <w:t>i</w:t>
            </w:r>
            <w:r w:rsidR="00A12A71">
              <w:rPr>
                <w:rFonts w:asciiTheme="minorHAnsi" w:hAnsiTheme="minorHAnsi" w:cstheme="minorHAnsi"/>
              </w:rPr>
              <w:t>i</w:t>
            </w:r>
            <w:r w:rsidR="00CB42D1">
              <w:rPr>
                <w:rFonts w:asciiTheme="minorHAnsi" w:hAnsiTheme="minorHAnsi" w:cstheme="minorHAnsi"/>
              </w:rPr>
              <w:t>i</w:t>
            </w:r>
            <w:r w:rsidR="00363B56">
              <w:rPr>
                <w:rFonts w:asciiTheme="minorHAnsi" w:hAnsiTheme="minorHAnsi" w:cstheme="minorHAnsi"/>
              </w:rPr>
              <w:t xml:space="preserve">) </w:t>
            </w:r>
            <w:r w:rsidR="00E97B0F" w:rsidRPr="00E97B0F">
              <w:rPr>
                <w:rFonts w:asciiTheme="minorHAnsi" w:hAnsiTheme="minorHAnsi" w:cstheme="minorHAnsi"/>
              </w:rPr>
              <w:t xml:space="preserve">expanding the ACNC’s reach would require a commensurate increase in resources, arguably not a well-targeted use of government spending, </w:t>
            </w:r>
            <w:r w:rsidR="00B04F88">
              <w:rPr>
                <w:rFonts w:asciiTheme="minorHAnsi" w:hAnsiTheme="minorHAnsi" w:cstheme="minorHAnsi"/>
              </w:rPr>
              <w:t>and</w:t>
            </w:r>
          </w:p>
          <w:p w:rsidR="00E97B0F" w:rsidRDefault="008776B1" w:rsidP="00FE6325">
            <w:pPr>
              <w:spacing w:before="120" w:after="120"/>
              <w:ind w:left="357"/>
              <w:rPr>
                <w:rFonts w:asciiTheme="minorHAnsi" w:hAnsiTheme="minorHAnsi" w:cstheme="minorHAnsi"/>
              </w:rPr>
            </w:pPr>
            <w:r>
              <w:rPr>
                <w:rFonts w:asciiTheme="minorHAnsi" w:hAnsiTheme="minorHAnsi" w:cstheme="minorHAnsi"/>
              </w:rPr>
              <w:t>(</w:t>
            </w:r>
            <w:r w:rsidR="00CB42D1">
              <w:rPr>
                <w:rFonts w:asciiTheme="minorHAnsi" w:hAnsiTheme="minorHAnsi" w:cstheme="minorHAnsi"/>
              </w:rPr>
              <w:t>ix</w:t>
            </w:r>
            <w:r w:rsidR="00363B56">
              <w:rPr>
                <w:rFonts w:asciiTheme="minorHAnsi" w:hAnsiTheme="minorHAnsi" w:cstheme="minorHAnsi"/>
              </w:rPr>
              <w:t xml:space="preserve">) </w:t>
            </w:r>
            <w:r w:rsidR="00A90C0B" w:rsidRPr="00A90C0B">
              <w:rPr>
                <w:rFonts w:asciiTheme="minorHAnsi" w:hAnsiTheme="minorHAnsi" w:cstheme="minorHAnsi"/>
              </w:rPr>
              <w:t xml:space="preserve">a massive expansion of ACNC responsibilities (i.e. from some 55,600 charities currently registered with the ACNC  to up to 600,000 NFP organisations in Australia) would impinge on its ability to robustly regulate charities and to continue to give Australian donors confidence to maintain and increase philanthropy. </w:t>
            </w:r>
          </w:p>
          <w:p w:rsidR="00363B56" w:rsidRDefault="00363B56" w:rsidP="005131E3">
            <w:pPr>
              <w:numPr>
                <w:ilvl w:val="0"/>
                <w:numId w:val="27"/>
              </w:numPr>
              <w:spacing w:before="120" w:after="120"/>
              <w:ind w:left="357" w:hanging="357"/>
              <w:rPr>
                <w:rFonts w:asciiTheme="minorHAnsi" w:hAnsiTheme="minorHAnsi" w:cstheme="minorHAnsi"/>
              </w:rPr>
            </w:pPr>
            <w:r>
              <w:rPr>
                <w:rFonts w:asciiTheme="minorHAnsi" w:hAnsiTheme="minorHAnsi" w:cstheme="minorHAnsi"/>
              </w:rPr>
              <w:t xml:space="preserve">consider </w:t>
            </w:r>
            <w:r w:rsidRPr="00363B56">
              <w:rPr>
                <w:rFonts w:asciiTheme="minorHAnsi" w:hAnsiTheme="minorHAnsi" w:cstheme="minorHAnsi"/>
              </w:rPr>
              <w:t xml:space="preserve">a partial expansion of the ACNC regulatory framework to particular classes of NFPs, in particular those that attract tax concessions i.e. licensed clubs and/or larger NFPs and those that operate in multiple jurisdictions  </w:t>
            </w:r>
          </w:p>
          <w:p w:rsidR="00363B56" w:rsidRPr="00363B56" w:rsidRDefault="00363B56" w:rsidP="005131E3">
            <w:pPr>
              <w:numPr>
                <w:ilvl w:val="0"/>
                <w:numId w:val="27"/>
              </w:numPr>
              <w:spacing w:before="120" w:after="120"/>
              <w:ind w:left="357" w:hanging="357"/>
              <w:rPr>
                <w:rFonts w:asciiTheme="minorHAnsi" w:hAnsiTheme="minorHAnsi" w:cstheme="minorHAnsi"/>
              </w:rPr>
            </w:pPr>
            <w:r>
              <w:rPr>
                <w:rFonts w:asciiTheme="minorHAnsi" w:hAnsiTheme="minorHAnsi" w:cstheme="minorHAnsi"/>
              </w:rPr>
              <w:t xml:space="preserve">consider </w:t>
            </w:r>
            <w:r w:rsidR="00B84DF7">
              <w:rPr>
                <w:rFonts w:asciiTheme="minorHAnsi" w:hAnsiTheme="minorHAnsi" w:cstheme="minorHAnsi"/>
              </w:rPr>
              <w:t xml:space="preserve">how/if </w:t>
            </w:r>
            <w:r w:rsidRPr="00363B56">
              <w:rPr>
                <w:rFonts w:asciiTheme="minorHAnsi" w:hAnsiTheme="minorHAnsi" w:cstheme="minorHAnsi"/>
              </w:rPr>
              <w:t>non-charitable NFPs could be supported to greater levels of self-regulation through voluntary codes of conduct. This could both increase public trust and would be aligned to an empowered sector committed to determine its own future, build its capability, effectively manage its res</w:t>
            </w:r>
            <w:r w:rsidR="00B84DF7">
              <w:rPr>
                <w:rFonts w:asciiTheme="minorHAnsi" w:hAnsiTheme="minorHAnsi" w:cstheme="minorHAnsi"/>
              </w:rPr>
              <w:t>ources and drive innovation</w:t>
            </w:r>
          </w:p>
          <w:p w:rsidR="00FF7E41" w:rsidRDefault="00363B56" w:rsidP="005131E3">
            <w:pPr>
              <w:pStyle w:val="ListParagraph"/>
              <w:numPr>
                <w:ilvl w:val="0"/>
                <w:numId w:val="27"/>
              </w:numPr>
              <w:spacing w:before="120" w:after="120"/>
              <w:ind w:left="357" w:hanging="357"/>
              <w:contextualSpacing w:val="0"/>
              <w:rPr>
                <w:rFonts w:asciiTheme="minorHAnsi" w:hAnsiTheme="minorHAnsi" w:cstheme="minorHAnsi"/>
              </w:rPr>
            </w:pPr>
            <w:r w:rsidRPr="00134D28">
              <w:rPr>
                <w:rFonts w:asciiTheme="minorHAnsi" w:hAnsiTheme="minorHAnsi" w:cstheme="minorHAnsi"/>
              </w:rPr>
              <w:t>consider the current legal structures available to NFPs (including social enterprises), and whether Government reform in this area would provide NFPs with a more simplified, consistent and fit-for-purpose regulatory environment.</w:t>
            </w:r>
            <w:r w:rsidR="00134D28" w:rsidRPr="00134D28">
              <w:rPr>
                <w:rFonts w:asciiTheme="minorHAnsi" w:hAnsiTheme="minorHAnsi" w:cstheme="minorHAnsi"/>
              </w:rPr>
              <w:t xml:space="preserve">   There are, however, some categories of NFPs that may require exclusion from any blanket changes, such as </w:t>
            </w:r>
            <w:r w:rsidR="002D4DCC">
              <w:rPr>
                <w:rFonts w:asciiTheme="minorHAnsi" w:hAnsiTheme="minorHAnsi" w:cstheme="minorHAnsi"/>
              </w:rPr>
              <w:t xml:space="preserve">the </w:t>
            </w:r>
            <w:r w:rsidR="00134D28" w:rsidRPr="00134D28">
              <w:rPr>
                <w:rFonts w:asciiTheme="minorHAnsi" w:hAnsiTheme="minorHAnsi" w:cstheme="minorHAnsi"/>
              </w:rPr>
              <w:t>exclusion of</w:t>
            </w:r>
            <w:r w:rsidR="002D4DCC">
              <w:rPr>
                <w:rFonts w:asciiTheme="minorHAnsi" w:hAnsiTheme="minorHAnsi" w:cstheme="minorHAnsi"/>
              </w:rPr>
              <w:t xml:space="preserve"> </w:t>
            </w:r>
            <w:r w:rsidR="00134D28" w:rsidRPr="00134D28">
              <w:rPr>
                <w:rFonts w:asciiTheme="minorHAnsi" w:hAnsiTheme="minorHAnsi" w:cstheme="minorHAnsi"/>
              </w:rPr>
              <w:t xml:space="preserve"> Indigenous NFP organisations currently regulated by ORIC, and social </w:t>
            </w:r>
            <w:r w:rsidR="002D4DCC" w:rsidRPr="00134D28">
              <w:rPr>
                <w:rFonts w:asciiTheme="minorHAnsi" w:hAnsiTheme="minorHAnsi" w:cstheme="minorHAnsi"/>
              </w:rPr>
              <w:t>enterprises that</w:t>
            </w:r>
            <w:r w:rsidR="00134D28" w:rsidRPr="00134D28">
              <w:rPr>
                <w:rFonts w:asciiTheme="minorHAnsi" w:hAnsiTheme="minorHAnsi" w:cstheme="minorHAnsi"/>
              </w:rPr>
              <w:t xml:space="preserve"> operate as for-profit business</w:t>
            </w:r>
            <w:r w:rsidR="00B84DF7">
              <w:rPr>
                <w:rFonts w:asciiTheme="minorHAnsi" w:hAnsiTheme="minorHAnsi" w:cstheme="minorHAnsi"/>
              </w:rPr>
              <w:t xml:space="preserve"> entities with a social purpose</w:t>
            </w:r>
            <w:r w:rsidR="00FF7E41">
              <w:rPr>
                <w:rFonts w:asciiTheme="minorHAnsi" w:hAnsiTheme="minorHAnsi" w:cstheme="minorHAnsi"/>
              </w:rPr>
              <w:t>, and</w:t>
            </w:r>
          </w:p>
          <w:p w:rsidR="005131E3" w:rsidRPr="00FF7E41" w:rsidRDefault="00FF7E41" w:rsidP="00FF7E41">
            <w:pPr>
              <w:pStyle w:val="ListParagraph"/>
              <w:numPr>
                <w:ilvl w:val="0"/>
                <w:numId w:val="27"/>
              </w:numPr>
              <w:spacing w:before="120" w:after="120"/>
              <w:ind w:left="360"/>
              <w:contextualSpacing w:val="0"/>
              <w:rPr>
                <w:rFonts w:asciiTheme="minorHAnsi" w:hAnsiTheme="minorHAnsi" w:cstheme="minorHAnsi"/>
              </w:rPr>
            </w:pPr>
            <w:r>
              <w:rPr>
                <w:rFonts w:asciiTheme="minorHAnsi" w:hAnsiTheme="minorHAnsi" w:cstheme="minorHAnsi"/>
              </w:rPr>
              <w:t xml:space="preserve">consider </w:t>
            </w:r>
            <w:r w:rsidRPr="00FF7E41">
              <w:rPr>
                <w:rFonts w:asciiTheme="minorHAnsi" w:hAnsiTheme="minorHAnsi" w:cstheme="minorHAnsi"/>
              </w:rPr>
              <w:t>the current exemption of basic religious charities from complying with the ACNC’s governance standards and from providing annual financial reports, regardless of the amount of their annual revenue.   A level playing field should operate in respect of all charities, without regard to the religion or beliefs of the NFP and its purpose.   The Review Panel should review the current blanket exemption that applies to basic religious charities to ensure a fair and equitable regulatory treatment of charities across the</w:t>
            </w:r>
            <w:r>
              <w:rPr>
                <w:rFonts w:asciiTheme="minorHAnsi" w:hAnsiTheme="minorHAnsi" w:cstheme="minorHAnsi"/>
              </w:rPr>
              <w:t xml:space="preserve"> sector.   </w:t>
            </w:r>
          </w:p>
        </w:tc>
      </w:tr>
      <w:tr w:rsidR="00E97B0F" w:rsidRPr="00E97B0F" w:rsidTr="00B72FB0">
        <w:tc>
          <w:tcPr>
            <w:tcW w:w="495" w:type="dxa"/>
          </w:tcPr>
          <w:p w:rsidR="00E97B0F" w:rsidRPr="00E97B0F" w:rsidRDefault="00C60AE1" w:rsidP="00C60AE1">
            <w:pPr>
              <w:spacing w:before="120" w:after="120"/>
              <w:rPr>
                <w:rFonts w:asciiTheme="minorHAnsi" w:hAnsiTheme="minorHAnsi" w:cstheme="minorHAnsi"/>
              </w:rPr>
            </w:pPr>
            <w:r>
              <w:rPr>
                <w:rFonts w:asciiTheme="minorHAnsi" w:hAnsiTheme="minorHAnsi" w:cstheme="minorHAnsi"/>
              </w:rPr>
              <w:t>5</w:t>
            </w:r>
            <w:r w:rsidR="00E97B0F" w:rsidRPr="00E97B0F">
              <w:rPr>
                <w:rFonts w:asciiTheme="minorHAnsi" w:hAnsiTheme="minorHAnsi" w:cstheme="minorHAnsi"/>
              </w:rPr>
              <w:t>.</w:t>
            </w:r>
          </w:p>
        </w:tc>
        <w:tc>
          <w:tcPr>
            <w:tcW w:w="8969" w:type="dxa"/>
          </w:tcPr>
          <w:p w:rsidR="00A26557" w:rsidRPr="00A26557" w:rsidRDefault="00A26557" w:rsidP="00FE6325">
            <w:pPr>
              <w:spacing w:before="120" w:after="120"/>
              <w:rPr>
                <w:rFonts w:asciiTheme="minorHAnsi" w:hAnsiTheme="minorHAnsi" w:cstheme="minorHAnsi"/>
                <w:b/>
                <w:i/>
              </w:rPr>
            </w:pPr>
            <w:r w:rsidRPr="00A26557">
              <w:rPr>
                <w:rFonts w:asciiTheme="minorHAnsi" w:hAnsiTheme="minorHAnsi" w:cstheme="minorHAnsi"/>
                <w:b/>
                <w:i/>
              </w:rPr>
              <w:t xml:space="preserve">Object 1 – </w:t>
            </w:r>
            <w:r w:rsidR="006023E9">
              <w:rPr>
                <w:rFonts w:asciiTheme="minorHAnsi" w:hAnsiTheme="minorHAnsi" w:cstheme="minorHAnsi"/>
                <w:b/>
                <w:i/>
              </w:rPr>
              <w:t>B</w:t>
            </w:r>
            <w:r w:rsidRPr="00A26557">
              <w:rPr>
                <w:rFonts w:asciiTheme="minorHAnsi" w:hAnsiTheme="minorHAnsi" w:cstheme="minorHAnsi"/>
                <w:b/>
                <w:i/>
              </w:rPr>
              <w:t xml:space="preserve">ehaviours </w:t>
            </w:r>
            <w:r w:rsidR="006023E9">
              <w:rPr>
                <w:rFonts w:asciiTheme="minorHAnsi" w:hAnsiTheme="minorHAnsi" w:cstheme="minorHAnsi"/>
                <w:b/>
                <w:i/>
              </w:rPr>
              <w:t xml:space="preserve">of charities </w:t>
            </w:r>
            <w:r w:rsidRPr="00A26557">
              <w:rPr>
                <w:rFonts w:asciiTheme="minorHAnsi" w:hAnsiTheme="minorHAnsi" w:cstheme="minorHAnsi"/>
                <w:b/>
                <w:i/>
              </w:rPr>
              <w:t>that erode public trust and confidence</w:t>
            </w:r>
          </w:p>
          <w:p w:rsidR="00E97B0F" w:rsidRPr="00E97B0F" w:rsidRDefault="00E97B0F" w:rsidP="002D4DE9">
            <w:pPr>
              <w:spacing w:before="120" w:after="120"/>
              <w:rPr>
                <w:rFonts w:asciiTheme="minorHAnsi" w:hAnsiTheme="minorHAnsi" w:cstheme="minorHAnsi"/>
              </w:rPr>
            </w:pPr>
            <w:r w:rsidRPr="00E97B0F">
              <w:rPr>
                <w:rFonts w:asciiTheme="minorHAnsi" w:hAnsiTheme="minorHAnsi" w:cstheme="minorHAnsi"/>
              </w:rPr>
              <w:t xml:space="preserve">Consider the critical need for safe, ethical and effective use of private digital resources </w:t>
            </w:r>
            <w:r w:rsidR="002D4DE9">
              <w:rPr>
                <w:rFonts w:asciiTheme="minorHAnsi" w:hAnsiTheme="minorHAnsi" w:cstheme="minorHAnsi"/>
              </w:rPr>
              <w:t xml:space="preserve">(e.g. digital donor data) </w:t>
            </w:r>
            <w:r w:rsidRPr="00E97B0F">
              <w:rPr>
                <w:rFonts w:asciiTheme="minorHAnsi" w:hAnsiTheme="minorHAnsi" w:cstheme="minorHAnsi"/>
              </w:rPr>
              <w:t>for public benefit</w:t>
            </w:r>
            <w:r w:rsidR="002D4DE9">
              <w:rPr>
                <w:rFonts w:asciiTheme="minorHAnsi" w:hAnsiTheme="minorHAnsi" w:cstheme="minorHAnsi"/>
              </w:rPr>
              <w:t>,</w:t>
            </w:r>
            <w:r w:rsidR="0035766B">
              <w:rPr>
                <w:rFonts w:asciiTheme="minorHAnsi" w:hAnsiTheme="minorHAnsi" w:cstheme="minorHAnsi"/>
              </w:rPr>
              <w:t xml:space="preserve"> and to maintain public trust and confidence</w:t>
            </w:r>
            <w:r w:rsidRPr="00E97B0F">
              <w:rPr>
                <w:rFonts w:asciiTheme="minorHAnsi" w:hAnsiTheme="minorHAnsi" w:cstheme="minorHAnsi"/>
              </w:rPr>
              <w:t xml:space="preserve">.  This may call for the creation of new approaches to governing and regulating digital assets and support and tools for the charitable sector.  </w:t>
            </w:r>
          </w:p>
        </w:tc>
      </w:tr>
      <w:tr w:rsidR="0035766B" w:rsidRPr="00E97B0F" w:rsidTr="00B72FB0">
        <w:tc>
          <w:tcPr>
            <w:tcW w:w="495" w:type="dxa"/>
          </w:tcPr>
          <w:p w:rsidR="0035766B" w:rsidRPr="00E97B0F" w:rsidRDefault="00C60AE1" w:rsidP="00C60AE1">
            <w:pPr>
              <w:spacing w:before="120" w:after="120"/>
              <w:rPr>
                <w:rFonts w:asciiTheme="minorHAnsi" w:hAnsiTheme="minorHAnsi" w:cstheme="minorHAnsi"/>
              </w:rPr>
            </w:pPr>
            <w:r>
              <w:rPr>
                <w:rFonts w:asciiTheme="minorHAnsi" w:hAnsiTheme="minorHAnsi" w:cstheme="minorHAnsi"/>
              </w:rPr>
              <w:t>6</w:t>
            </w:r>
            <w:r w:rsidR="0035766B" w:rsidRPr="00E97B0F">
              <w:rPr>
                <w:rFonts w:asciiTheme="minorHAnsi" w:hAnsiTheme="minorHAnsi" w:cstheme="minorHAnsi"/>
              </w:rPr>
              <w:t>.</w:t>
            </w:r>
          </w:p>
        </w:tc>
        <w:tc>
          <w:tcPr>
            <w:tcW w:w="8969" w:type="dxa"/>
          </w:tcPr>
          <w:p w:rsidR="00A26557" w:rsidRPr="00A26557" w:rsidRDefault="00A26557" w:rsidP="00FE6325">
            <w:pPr>
              <w:spacing w:before="120" w:after="120"/>
              <w:rPr>
                <w:rFonts w:asciiTheme="minorHAnsi" w:hAnsiTheme="minorHAnsi" w:cstheme="minorHAnsi"/>
                <w:b/>
                <w:i/>
              </w:rPr>
            </w:pPr>
            <w:r w:rsidRPr="00A26557">
              <w:rPr>
                <w:rFonts w:asciiTheme="minorHAnsi" w:hAnsiTheme="minorHAnsi" w:cstheme="minorHAnsi"/>
                <w:b/>
                <w:i/>
              </w:rPr>
              <w:t>ACNC proposed additional object to enhance the accountability of NFP entities</w:t>
            </w:r>
          </w:p>
          <w:p w:rsidR="0035766B" w:rsidRPr="00E97B0F" w:rsidRDefault="0035766B" w:rsidP="00F92B39">
            <w:pPr>
              <w:spacing w:before="120" w:after="120"/>
              <w:rPr>
                <w:rFonts w:asciiTheme="minorHAnsi" w:hAnsiTheme="minorHAnsi" w:cstheme="minorHAnsi"/>
              </w:rPr>
            </w:pPr>
            <w:r w:rsidRPr="00E97B0F">
              <w:rPr>
                <w:rFonts w:asciiTheme="minorHAnsi" w:hAnsiTheme="minorHAnsi" w:cstheme="minorHAnsi"/>
              </w:rPr>
              <w:t xml:space="preserve">Consider whether the </w:t>
            </w:r>
            <w:r w:rsidR="008F1C28">
              <w:rPr>
                <w:rFonts w:asciiTheme="minorHAnsi" w:hAnsiTheme="minorHAnsi" w:cstheme="minorHAnsi"/>
              </w:rPr>
              <w:t xml:space="preserve">ACNC </w:t>
            </w:r>
            <w:r w:rsidRPr="00E97B0F">
              <w:rPr>
                <w:rFonts w:asciiTheme="minorHAnsi" w:hAnsiTheme="minorHAnsi" w:cstheme="minorHAnsi"/>
              </w:rPr>
              <w:t xml:space="preserve">goal to enhance the accountability of the NFP entities to donors, beneficiaries and the public can be best achieved through appropriate education and guidance </w:t>
            </w:r>
            <w:r w:rsidR="008F1C28">
              <w:rPr>
                <w:rFonts w:asciiTheme="minorHAnsi" w:hAnsiTheme="minorHAnsi" w:cstheme="minorHAnsi"/>
              </w:rPr>
              <w:t xml:space="preserve">by the ACNC </w:t>
            </w:r>
            <w:r w:rsidRPr="00E97B0F">
              <w:rPr>
                <w:rFonts w:asciiTheme="minorHAnsi" w:hAnsiTheme="minorHAnsi" w:cstheme="minorHAnsi"/>
              </w:rPr>
              <w:t>rather than through adding a new object in the princip</w:t>
            </w:r>
            <w:r w:rsidR="00F92B39">
              <w:rPr>
                <w:rFonts w:asciiTheme="minorHAnsi" w:hAnsiTheme="minorHAnsi" w:cstheme="minorHAnsi"/>
              </w:rPr>
              <w:t>al</w:t>
            </w:r>
            <w:r w:rsidRPr="00E97B0F">
              <w:rPr>
                <w:rFonts w:asciiTheme="minorHAnsi" w:hAnsiTheme="minorHAnsi" w:cstheme="minorHAnsi"/>
              </w:rPr>
              <w:t xml:space="preserve"> Act.  </w:t>
            </w:r>
          </w:p>
        </w:tc>
      </w:tr>
      <w:tr w:rsidR="00863A48" w:rsidRPr="00E97B0F" w:rsidTr="00B72FB0">
        <w:tc>
          <w:tcPr>
            <w:tcW w:w="495" w:type="dxa"/>
          </w:tcPr>
          <w:p w:rsidR="00863A48" w:rsidRPr="00E97B0F" w:rsidRDefault="00C60AE1" w:rsidP="00C60AE1">
            <w:pPr>
              <w:spacing w:before="120" w:after="120"/>
              <w:rPr>
                <w:rFonts w:asciiTheme="minorHAnsi" w:hAnsiTheme="minorHAnsi" w:cstheme="minorHAnsi"/>
              </w:rPr>
            </w:pPr>
            <w:r>
              <w:rPr>
                <w:rFonts w:asciiTheme="minorHAnsi" w:hAnsiTheme="minorHAnsi" w:cstheme="minorHAnsi"/>
              </w:rPr>
              <w:t>7</w:t>
            </w:r>
            <w:r w:rsidR="00863A48">
              <w:rPr>
                <w:rFonts w:asciiTheme="minorHAnsi" w:hAnsiTheme="minorHAnsi" w:cstheme="minorHAnsi"/>
              </w:rPr>
              <w:t>.</w:t>
            </w:r>
          </w:p>
        </w:tc>
        <w:tc>
          <w:tcPr>
            <w:tcW w:w="8969" w:type="dxa"/>
          </w:tcPr>
          <w:p w:rsidR="00A26557" w:rsidRDefault="00A26557" w:rsidP="00A26557">
            <w:pPr>
              <w:spacing w:before="120" w:after="120"/>
              <w:rPr>
                <w:rFonts w:asciiTheme="minorHAnsi" w:hAnsiTheme="minorHAnsi" w:cstheme="minorHAnsi"/>
                <w:b/>
                <w:i/>
              </w:rPr>
            </w:pPr>
            <w:r w:rsidRPr="00A26557">
              <w:rPr>
                <w:rFonts w:asciiTheme="minorHAnsi" w:hAnsiTheme="minorHAnsi" w:cstheme="minorHAnsi"/>
                <w:b/>
                <w:i/>
              </w:rPr>
              <w:t xml:space="preserve">ACNC proposed additional object to </w:t>
            </w:r>
            <w:r>
              <w:rPr>
                <w:rFonts w:asciiTheme="minorHAnsi" w:hAnsiTheme="minorHAnsi" w:cstheme="minorHAnsi"/>
                <w:b/>
                <w:i/>
              </w:rPr>
              <w:t xml:space="preserve">promote the effective use of resources of </w:t>
            </w:r>
            <w:r w:rsidR="00E2151E">
              <w:rPr>
                <w:rFonts w:asciiTheme="minorHAnsi" w:hAnsiTheme="minorHAnsi" w:cstheme="minorHAnsi"/>
                <w:b/>
                <w:i/>
              </w:rPr>
              <w:t>NFP</w:t>
            </w:r>
            <w:r>
              <w:rPr>
                <w:rFonts w:asciiTheme="minorHAnsi" w:hAnsiTheme="minorHAnsi" w:cstheme="minorHAnsi"/>
                <w:b/>
                <w:i/>
              </w:rPr>
              <w:t xml:space="preserve"> entities</w:t>
            </w:r>
          </w:p>
          <w:p w:rsidR="00863A48" w:rsidRDefault="00863A48" w:rsidP="00FE6325">
            <w:pPr>
              <w:spacing w:before="120" w:after="120"/>
              <w:rPr>
                <w:rFonts w:asciiTheme="minorHAnsi" w:hAnsiTheme="minorHAnsi" w:cstheme="minorHAnsi"/>
              </w:rPr>
            </w:pPr>
            <w:r w:rsidRPr="00E97B0F">
              <w:rPr>
                <w:rFonts w:asciiTheme="minorHAnsi" w:hAnsiTheme="minorHAnsi" w:cstheme="minorHAnsi"/>
              </w:rPr>
              <w:t>Consider the</w:t>
            </w:r>
            <w:r>
              <w:rPr>
                <w:rFonts w:asciiTheme="minorHAnsi" w:hAnsiTheme="minorHAnsi" w:cstheme="minorHAnsi"/>
              </w:rPr>
              <w:t xml:space="preserve"> following issues in relation to the </w:t>
            </w:r>
            <w:r w:rsidRPr="00E97B0F">
              <w:rPr>
                <w:rFonts w:asciiTheme="minorHAnsi" w:hAnsiTheme="minorHAnsi" w:cstheme="minorHAnsi"/>
              </w:rPr>
              <w:t xml:space="preserve">ACNC’s proposed additional object (ACNC Recommendation 2) to promote the effective use of the resources of </w:t>
            </w:r>
            <w:r w:rsidR="00E2151E">
              <w:rPr>
                <w:rFonts w:asciiTheme="minorHAnsi" w:hAnsiTheme="minorHAnsi" w:cstheme="minorHAnsi"/>
              </w:rPr>
              <w:t xml:space="preserve">NFP </w:t>
            </w:r>
            <w:r w:rsidRPr="00E97B0F">
              <w:rPr>
                <w:rFonts w:asciiTheme="minorHAnsi" w:hAnsiTheme="minorHAnsi" w:cstheme="minorHAnsi"/>
              </w:rPr>
              <w:t>entities</w:t>
            </w:r>
            <w:r>
              <w:rPr>
                <w:rFonts w:asciiTheme="minorHAnsi" w:hAnsiTheme="minorHAnsi" w:cstheme="minorHAnsi"/>
              </w:rPr>
              <w:t>:</w:t>
            </w:r>
          </w:p>
          <w:p w:rsidR="00863A48" w:rsidRPr="00824A7D" w:rsidRDefault="00863A48" w:rsidP="005131E3">
            <w:pPr>
              <w:pStyle w:val="ListParagraph"/>
              <w:numPr>
                <w:ilvl w:val="0"/>
                <w:numId w:val="29"/>
              </w:numPr>
              <w:spacing w:before="120" w:after="120"/>
              <w:ind w:left="357" w:hanging="357"/>
              <w:contextualSpacing w:val="0"/>
              <w:rPr>
                <w:rFonts w:asciiTheme="minorHAnsi" w:hAnsiTheme="minorHAnsi" w:cstheme="minorHAnsi"/>
              </w:rPr>
            </w:pPr>
            <w:r w:rsidRPr="00824A7D">
              <w:rPr>
                <w:rFonts w:asciiTheme="minorHAnsi" w:hAnsiTheme="minorHAnsi" w:cstheme="minorHAnsi"/>
              </w:rPr>
              <w:t xml:space="preserve">the effective use of the resources of NFP entities goes well beyond the financial and embraces a diverse range of tangible and intangible resources for NFPs to manage, such as </w:t>
            </w:r>
            <w:r>
              <w:rPr>
                <w:rFonts w:asciiTheme="minorHAnsi" w:hAnsiTheme="minorHAnsi" w:cstheme="minorHAnsi"/>
              </w:rPr>
              <w:t xml:space="preserve">management of </w:t>
            </w:r>
            <w:r w:rsidRPr="00824A7D">
              <w:rPr>
                <w:rFonts w:asciiTheme="minorHAnsi" w:hAnsiTheme="minorHAnsi" w:cstheme="minorHAnsi"/>
              </w:rPr>
              <w:t>staff and volunteers</w:t>
            </w:r>
            <w:r>
              <w:rPr>
                <w:rFonts w:asciiTheme="minorHAnsi" w:hAnsiTheme="minorHAnsi" w:cstheme="minorHAnsi"/>
              </w:rPr>
              <w:t xml:space="preserve"> and building and sustaining brand/reputation with the public</w:t>
            </w:r>
          </w:p>
          <w:p w:rsidR="00863A48" w:rsidRPr="00824A7D" w:rsidRDefault="00863A48" w:rsidP="005131E3">
            <w:pPr>
              <w:pStyle w:val="ListParagraph"/>
              <w:numPr>
                <w:ilvl w:val="0"/>
                <w:numId w:val="29"/>
              </w:numPr>
              <w:spacing w:before="120" w:after="120"/>
              <w:ind w:left="357" w:hanging="357"/>
              <w:contextualSpacing w:val="0"/>
              <w:rPr>
                <w:rFonts w:asciiTheme="minorHAnsi" w:hAnsiTheme="minorHAnsi" w:cstheme="minorHAnsi"/>
              </w:rPr>
            </w:pPr>
            <w:r w:rsidRPr="00824A7D">
              <w:rPr>
                <w:rFonts w:asciiTheme="minorHAnsi" w:hAnsiTheme="minorHAnsi" w:cstheme="minorHAnsi"/>
              </w:rPr>
              <w:t xml:space="preserve">this appears to fall outside of the scope of the ACNC’s primary regulatory role and </w:t>
            </w:r>
            <w:r w:rsidR="00910E1F">
              <w:rPr>
                <w:rFonts w:asciiTheme="minorHAnsi" w:hAnsiTheme="minorHAnsi" w:cstheme="minorHAnsi"/>
              </w:rPr>
              <w:t xml:space="preserve">could be </w:t>
            </w:r>
            <w:r w:rsidRPr="00824A7D">
              <w:rPr>
                <w:rFonts w:asciiTheme="minorHAnsi" w:hAnsiTheme="minorHAnsi" w:cstheme="minorHAnsi"/>
              </w:rPr>
              <w:t xml:space="preserve">seen as </w:t>
            </w:r>
            <w:r w:rsidR="00910E1F">
              <w:rPr>
                <w:rFonts w:asciiTheme="minorHAnsi" w:hAnsiTheme="minorHAnsi" w:cstheme="minorHAnsi"/>
              </w:rPr>
              <w:t xml:space="preserve">regulatory </w:t>
            </w:r>
            <w:r w:rsidRPr="00824A7D">
              <w:rPr>
                <w:rFonts w:asciiTheme="minorHAnsi" w:hAnsiTheme="minorHAnsi" w:cstheme="minorHAnsi"/>
              </w:rPr>
              <w:t>overreach.  It is questionable whether the ACNC should divert its efforts from its primary regulatory role to pursue this issue, given the best use of resources is a matter for the judgment and capacity of NFP organisations, and best done by the sector itself and by other existing or new bodies, more clearly charged with a capacity-building and support role for the sector</w:t>
            </w:r>
          </w:p>
          <w:p w:rsidR="00863A48" w:rsidRPr="00D168A0" w:rsidRDefault="007E3E11" w:rsidP="005131E3">
            <w:pPr>
              <w:pStyle w:val="ListParagraph"/>
              <w:numPr>
                <w:ilvl w:val="0"/>
                <w:numId w:val="29"/>
              </w:numPr>
              <w:spacing w:before="120" w:after="120"/>
              <w:ind w:left="357" w:hanging="357"/>
              <w:contextualSpacing w:val="0"/>
              <w:rPr>
                <w:rFonts w:asciiTheme="minorHAnsi" w:hAnsiTheme="minorHAnsi" w:cstheme="minorHAnsi"/>
              </w:rPr>
            </w:pPr>
            <w:r w:rsidRPr="00D168A0">
              <w:rPr>
                <w:rFonts w:asciiTheme="minorHAnsi" w:hAnsiTheme="minorHAnsi" w:cstheme="minorHAnsi"/>
              </w:rPr>
              <w:t xml:space="preserve">a more </w:t>
            </w:r>
            <w:r w:rsidR="00863A48" w:rsidRPr="00D168A0">
              <w:rPr>
                <w:rFonts w:asciiTheme="minorHAnsi" w:hAnsiTheme="minorHAnsi" w:cstheme="minorHAnsi"/>
              </w:rPr>
              <w:t>appropriate focus for the ACNC would be</w:t>
            </w:r>
            <w:r w:rsidRPr="00D168A0">
              <w:rPr>
                <w:rFonts w:asciiTheme="minorHAnsi" w:hAnsiTheme="minorHAnsi" w:cstheme="minorHAnsi"/>
              </w:rPr>
              <w:t xml:space="preserve"> </w:t>
            </w:r>
            <w:r w:rsidR="00863A48" w:rsidRPr="00D168A0">
              <w:rPr>
                <w:rFonts w:asciiTheme="minorHAnsi" w:hAnsiTheme="minorHAnsi" w:cstheme="minorHAnsi"/>
              </w:rPr>
              <w:t xml:space="preserve">on the impacts that charities achieve </w:t>
            </w:r>
            <w:r w:rsidR="00910E1F" w:rsidRPr="00D168A0">
              <w:rPr>
                <w:rFonts w:asciiTheme="minorHAnsi" w:hAnsiTheme="minorHAnsi" w:cstheme="minorHAnsi"/>
              </w:rPr>
              <w:t xml:space="preserve">in line </w:t>
            </w:r>
            <w:r w:rsidR="00D168A0">
              <w:rPr>
                <w:rFonts w:asciiTheme="minorHAnsi" w:hAnsiTheme="minorHAnsi" w:cstheme="minorHAnsi"/>
              </w:rPr>
              <w:t xml:space="preserve">with </w:t>
            </w:r>
            <w:r w:rsidR="00863A48" w:rsidRPr="00D168A0">
              <w:rPr>
                <w:rFonts w:asciiTheme="minorHAnsi" w:hAnsiTheme="minorHAnsi" w:cstheme="minorHAnsi"/>
              </w:rPr>
              <w:t xml:space="preserve">the ACNC twin goals of transparency and accountability to underpin public trust and confidence in the sector.  For example, a role for the ACNC </w:t>
            </w:r>
            <w:r w:rsidR="00C60AE1" w:rsidRPr="00D168A0">
              <w:rPr>
                <w:rFonts w:asciiTheme="minorHAnsi" w:hAnsiTheme="minorHAnsi" w:cstheme="minorHAnsi"/>
              </w:rPr>
              <w:t xml:space="preserve">as a facilitator </w:t>
            </w:r>
            <w:r w:rsidR="00863A48" w:rsidRPr="00D168A0">
              <w:rPr>
                <w:rFonts w:asciiTheme="minorHAnsi" w:hAnsiTheme="minorHAnsi" w:cstheme="minorHAnsi"/>
              </w:rPr>
              <w:t xml:space="preserve">to </w:t>
            </w:r>
            <w:r w:rsidR="00860563" w:rsidRPr="00D168A0">
              <w:rPr>
                <w:rFonts w:asciiTheme="minorHAnsi" w:hAnsiTheme="minorHAnsi" w:cstheme="minorHAnsi"/>
              </w:rPr>
              <w:t xml:space="preserve">encourage a greater focus in the sector on outcomes and </w:t>
            </w:r>
            <w:r w:rsidR="00863A48" w:rsidRPr="00D168A0">
              <w:rPr>
                <w:rFonts w:asciiTheme="minorHAnsi" w:hAnsiTheme="minorHAnsi" w:cstheme="minorHAnsi"/>
              </w:rPr>
              <w:t>impact</w:t>
            </w:r>
            <w:r w:rsidR="00860563" w:rsidRPr="00D168A0">
              <w:rPr>
                <w:rFonts w:asciiTheme="minorHAnsi" w:hAnsiTheme="minorHAnsi" w:cstheme="minorHAnsi"/>
              </w:rPr>
              <w:t xml:space="preserve">s measurement and </w:t>
            </w:r>
            <w:r w:rsidR="00863A48" w:rsidRPr="00D168A0">
              <w:rPr>
                <w:rFonts w:asciiTheme="minorHAnsi" w:hAnsiTheme="minorHAnsi" w:cstheme="minorHAnsi"/>
              </w:rPr>
              <w:t>reporting</w:t>
            </w:r>
            <w:r w:rsidRPr="00D168A0">
              <w:rPr>
                <w:rFonts w:asciiTheme="minorHAnsi" w:hAnsiTheme="minorHAnsi" w:cstheme="minorHAnsi"/>
              </w:rPr>
              <w:t>,</w:t>
            </w:r>
            <w:r w:rsidR="00B84EC0" w:rsidRPr="00D168A0">
              <w:rPr>
                <w:rFonts w:asciiTheme="minorHAnsi" w:hAnsiTheme="minorHAnsi" w:cstheme="minorHAnsi"/>
              </w:rPr>
              <w:t xml:space="preserve"> including via the ACNC Governance Standards for charities,</w:t>
            </w:r>
            <w:r w:rsidR="00490CFD">
              <w:rPr>
                <w:rFonts w:asciiTheme="minorHAnsi" w:hAnsiTheme="minorHAnsi" w:cstheme="minorHAnsi"/>
              </w:rPr>
              <w:t xml:space="preserve"> and</w:t>
            </w:r>
          </w:p>
          <w:p w:rsidR="00863A48" w:rsidRPr="00824A7D" w:rsidRDefault="00863A48" w:rsidP="005131E3">
            <w:pPr>
              <w:pStyle w:val="ListParagraph"/>
              <w:numPr>
                <w:ilvl w:val="0"/>
                <w:numId w:val="29"/>
              </w:numPr>
              <w:spacing w:before="120" w:after="120"/>
              <w:ind w:left="357" w:hanging="357"/>
              <w:contextualSpacing w:val="0"/>
              <w:rPr>
                <w:rFonts w:asciiTheme="minorHAnsi" w:hAnsiTheme="minorHAnsi" w:cstheme="minorHAnsi"/>
              </w:rPr>
            </w:pPr>
            <w:r w:rsidRPr="00D168A0">
              <w:rPr>
                <w:rFonts w:asciiTheme="minorHAnsi" w:hAnsiTheme="minorHAnsi" w:cstheme="minorHAnsi"/>
              </w:rPr>
              <w:t xml:space="preserve">the ACNC could </w:t>
            </w:r>
            <w:r w:rsidR="007E3E11" w:rsidRPr="00D168A0">
              <w:rPr>
                <w:rFonts w:asciiTheme="minorHAnsi" w:hAnsiTheme="minorHAnsi" w:cstheme="minorHAnsi"/>
              </w:rPr>
              <w:t xml:space="preserve">also </w:t>
            </w:r>
            <w:r w:rsidRPr="00D168A0">
              <w:rPr>
                <w:rFonts w:asciiTheme="minorHAnsi" w:hAnsiTheme="minorHAnsi" w:cstheme="minorHAnsi"/>
              </w:rPr>
              <w:t>use its position more strategically (and targeted) to</w:t>
            </w:r>
            <w:r w:rsidR="00C60AE1" w:rsidRPr="00D168A0">
              <w:rPr>
                <w:rFonts w:asciiTheme="minorHAnsi" w:hAnsiTheme="minorHAnsi" w:cstheme="minorHAnsi"/>
              </w:rPr>
              <w:t xml:space="preserve"> facilitate and encourage </w:t>
            </w:r>
            <w:r w:rsidRPr="00D168A0">
              <w:rPr>
                <w:rFonts w:asciiTheme="minorHAnsi" w:hAnsiTheme="minorHAnsi" w:cstheme="minorHAnsi"/>
              </w:rPr>
              <w:t>a greater preventative and early intervention role with charities that are exhibiting early signs of financial and other institutional stress and risk.</w:t>
            </w:r>
            <w:r>
              <w:rPr>
                <w:rFonts w:asciiTheme="minorHAnsi" w:hAnsiTheme="minorHAnsi" w:cstheme="minorHAnsi"/>
              </w:rPr>
              <w:t xml:space="preserve"> </w:t>
            </w:r>
          </w:p>
        </w:tc>
      </w:tr>
      <w:tr w:rsidR="00E97B0F" w:rsidRPr="00E97B0F" w:rsidTr="00B72FB0">
        <w:tc>
          <w:tcPr>
            <w:tcW w:w="495" w:type="dxa"/>
          </w:tcPr>
          <w:p w:rsidR="00E97B0F" w:rsidRPr="00E97B0F" w:rsidRDefault="00C53622" w:rsidP="00C60AE1">
            <w:pPr>
              <w:spacing w:before="120" w:after="120"/>
              <w:rPr>
                <w:rFonts w:asciiTheme="minorHAnsi" w:hAnsiTheme="minorHAnsi" w:cstheme="minorHAnsi"/>
              </w:rPr>
            </w:pPr>
            <w:r>
              <w:br w:type="page"/>
            </w:r>
            <w:r w:rsidR="00C60AE1">
              <w:t>8</w:t>
            </w:r>
            <w:r w:rsidR="00E97B0F" w:rsidRPr="00E97B0F">
              <w:rPr>
                <w:rFonts w:asciiTheme="minorHAnsi" w:hAnsiTheme="minorHAnsi" w:cstheme="minorHAnsi"/>
              </w:rPr>
              <w:t>.</w:t>
            </w:r>
          </w:p>
        </w:tc>
        <w:tc>
          <w:tcPr>
            <w:tcW w:w="8969" w:type="dxa"/>
          </w:tcPr>
          <w:p w:rsidR="00390284" w:rsidRPr="00652926" w:rsidRDefault="00652926" w:rsidP="00FE6325">
            <w:pPr>
              <w:spacing w:before="120" w:after="120"/>
              <w:rPr>
                <w:rFonts w:asciiTheme="minorHAnsi" w:hAnsiTheme="minorHAnsi" w:cstheme="minorHAnsi"/>
                <w:b/>
                <w:i/>
              </w:rPr>
            </w:pPr>
            <w:r w:rsidRPr="00652926">
              <w:rPr>
                <w:rFonts w:asciiTheme="minorHAnsi" w:hAnsiTheme="minorHAnsi" w:cstheme="minorHAnsi"/>
                <w:b/>
                <w:i/>
              </w:rPr>
              <w:t xml:space="preserve">Object 2 – The role of the ACNC in sustaining the </w:t>
            </w:r>
            <w:r w:rsidR="00E2151E">
              <w:rPr>
                <w:rFonts w:asciiTheme="minorHAnsi" w:hAnsiTheme="minorHAnsi" w:cstheme="minorHAnsi"/>
                <w:b/>
                <w:i/>
              </w:rPr>
              <w:t>NFP</w:t>
            </w:r>
            <w:r w:rsidRPr="00652926">
              <w:rPr>
                <w:rFonts w:asciiTheme="minorHAnsi" w:hAnsiTheme="minorHAnsi" w:cstheme="minorHAnsi"/>
                <w:b/>
                <w:i/>
              </w:rPr>
              <w:t xml:space="preserve"> sector</w:t>
            </w:r>
          </w:p>
          <w:p w:rsidR="00652926" w:rsidRDefault="00054725" w:rsidP="00FE6325">
            <w:pPr>
              <w:spacing w:before="120" w:after="120"/>
              <w:rPr>
                <w:rFonts w:asciiTheme="minorHAnsi" w:hAnsiTheme="minorHAnsi" w:cstheme="minorHAnsi"/>
              </w:rPr>
            </w:pPr>
            <w:r>
              <w:rPr>
                <w:rFonts w:asciiTheme="minorHAnsi" w:hAnsiTheme="minorHAnsi" w:cstheme="minorHAnsi"/>
              </w:rPr>
              <w:t>Consider</w:t>
            </w:r>
            <w:r w:rsidR="00EC7D1E">
              <w:rPr>
                <w:rFonts w:asciiTheme="minorHAnsi" w:hAnsiTheme="minorHAnsi" w:cstheme="minorHAnsi"/>
              </w:rPr>
              <w:t xml:space="preserve"> these issues concerning the original establishment of the ACNC and its role</w:t>
            </w:r>
            <w:r w:rsidR="00652926">
              <w:rPr>
                <w:rFonts w:asciiTheme="minorHAnsi" w:hAnsiTheme="minorHAnsi" w:cstheme="minorHAnsi"/>
              </w:rPr>
              <w:t>:</w:t>
            </w:r>
          </w:p>
          <w:p w:rsidR="00E97B0F" w:rsidRPr="00652926" w:rsidRDefault="00E97B0F" w:rsidP="005131E3">
            <w:pPr>
              <w:pStyle w:val="ListParagraph"/>
              <w:numPr>
                <w:ilvl w:val="0"/>
                <w:numId w:val="30"/>
              </w:numPr>
              <w:spacing w:before="120" w:after="120"/>
              <w:ind w:left="357" w:hanging="357"/>
              <w:contextualSpacing w:val="0"/>
              <w:rPr>
                <w:rFonts w:asciiTheme="minorHAnsi" w:hAnsiTheme="minorHAnsi" w:cstheme="minorHAnsi"/>
              </w:rPr>
            </w:pPr>
            <w:r w:rsidRPr="00652926">
              <w:rPr>
                <w:rFonts w:asciiTheme="minorHAnsi" w:hAnsiTheme="minorHAnsi" w:cstheme="minorHAnsi"/>
              </w:rPr>
              <w:t>the Productivity Commission</w:t>
            </w:r>
            <w:r w:rsidR="00863A48" w:rsidRPr="00652926">
              <w:rPr>
                <w:rFonts w:asciiTheme="minorHAnsi" w:hAnsiTheme="minorHAnsi" w:cstheme="minorHAnsi"/>
              </w:rPr>
              <w:t xml:space="preserve"> (PC) </w:t>
            </w:r>
            <w:r w:rsidR="0057157E">
              <w:rPr>
                <w:rFonts w:asciiTheme="minorHAnsi" w:hAnsiTheme="minorHAnsi" w:cstheme="minorHAnsi"/>
              </w:rPr>
              <w:t xml:space="preserve">in its </w:t>
            </w:r>
            <w:r w:rsidRPr="00652926">
              <w:rPr>
                <w:rFonts w:asciiTheme="minorHAnsi" w:hAnsiTheme="minorHAnsi" w:cstheme="minorHAnsi"/>
              </w:rPr>
              <w:t>2010 r</w:t>
            </w:r>
            <w:r w:rsidR="0057157E">
              <w:rPr>
                <w:rFonts w:asciiTheme="minorHAnsi" w:hAnsiTheme="minorHAnsi" w:cstheme="minorHAnsi"/>
              </w:rPr>
              <w:t xml:space="preserve">eport </w:t>
            </w:r>
            <w:r w:rsidRPr="00652926">
              <w:rPr>
                <w:rFonts w:asciiTheme="minorHAnsi" w:hAnsiTheme="minorHAnsi" w:cstheme="minorHAnsi"/>
              </w:rPr>
              <w:t>did not believe the regulator should have a role in sector development</w:t>
            </w:r>
            <w:r w:rsidR="0057157E">
              <w:rPr>
                <w:rFonts w:asciiTheme="minorHAnsi" w:hAnsiTheme="minorHAnsi" w:cstheme="minorHAnsi"/>
              </w:rPr>
              <w:t xml:space="preserve">; rather </w:t>
            </w:r>
            <w:r w:rsidRPr="00652926">
              <w:rPr>
                <w:rFonts w:asciiTheme="minorHAnsi" w:hAnsiTheme="minorHAnsi" w:cstheme="minorHAnsi"/>
              </w:rPr>
              <w:t>the regulator’s responsibilities should, “be limited to those relating to registration and reporting associated with demonstrating compliance with the legal requirements that underpin public trust and confidence in the NFP sector”</w:t>
            </w:r>
            <w:r w:rsidR="00652926">
              <w:rPr>
                <w:rFonts w:asciiTheme="minorHAnsi" w:hAnsiTheme="minorHAnsi" w:cstheme="minorHAnsi"/>
              </w:rPr>
              <w:t>, and</w:t>
            </w:r>
          </w:p>
          <w:p w:rsidR="00652926" w:rsidRPr="00652926" w:rsidRDefault="00054725" w:rsidP="005131E3">
            <w:pPr>
              <w:pStyle w:val="ListParagraph"/>
              <w:numPr>
                <w:ilvl w:val="0"/>
                <w:numId w:val="30"/>
              </w:numPr>
              <w:spacing w:before="120" w:after="120"/>
              <w:ind w:left="357" w:hanging="357"/>
              <w:contextualSpacing w:val="0"/>
              <w:rPr>
                <w:rFonts w:asciiTheme="minorHAnsi" w:hAnsiTheme="minorHAnsi" w:cstheme="minorHAnsi"/>
              </w:rPr>
            </w:pPr>
            <w:r>
              <w:rPr>
                <w:rFonts w:asciiTheme="minorHAnsi" w:hAnsiTheme="minorHAnsi" w:cstheme="minorHAnsi"/>
              </w:rPr>
              <w:t xml:space="preserve">remarks from </w:t>
            </w:r>
            <w:r w:rsidR="00652926" w:rsidRPr="00652926">
              <w:rPr>
                <w:rFonts w:asciiTheme="minorHAnsi" w:hAnsiTheme="minorHAnsi" w:cstheme="minorHAnsi"/>
              </w:rPr>
              <w:t xml:space="preserve">former ACNC Commissioner Susan Pascoe AM </w:t>
            </w:r>
            <w:r w:rsidR="00652926">
              <w:rPr>
                <w:rFonts w:asciiTheme="minorHAnsi" w:hAnsiTheme="minorHAnsi" w:cstheme="minorHAnsi"/>
              </w:rPr>
              <w:t>t</w:t>
            </w:r>
            <w:r w:rsidR="00652926" w:rsidRPr="00652926">
              <w:rPr>
                <w:rFonts w:asciiTheme="minorHAnsi" w:hAnsiTheme="minorHAnsi" w:cstheme="minorHAnsi"/>
              </w:rPr>
              <w:t>hat:</w:t>
            </w:r>
          </w:p>
          <w:p w:rsidR="004006F2" w:rsidRPr="00652926" w:rsidRDefault="00652926" w:rsidP="004006F2">
            <w:pPr>
              <w:spacing w:before="120" w:after="120"/>
              <w:ind w:left="357"/>
              <w:rPr>
                <w:rFonts w:asciiTheme="minorHAnsi" w:hAnsiTheme="minorHAnsi" w:cstheme="minorHAnsi"/>
              </w:rPr>
            </w:pPr>
            <w:r>
              <w:rPr>
                <w:rFonts w:asciiTheme="minorHAnsi" w:hAnsiTheme="minorHAnsi" w:cstheme="minorHAnsi"/>
              </w:rPr>
              <w:t xml:space="preserve">(i) </w:t>
            </w:r>
            <w:r w:rsidRPr="00652926">
              <w:rPr>
                <w:rFonts w:asciiTheme="minorHAnsi" w:hAnsiTheme="minorHAnsi" w:cstheme="minorHAnsi"/>
              </w:rPr>
              <w:t xml:space="preserve">objects two and three were </w:t>
            </w:r>
            <w:r w:rsidR="0057157E">
              <w:rPr>
                <w:rFonts w:asciiTheme="minorHAnsi" w:hAnsiTheme="minorHAnsi" w:cstheme="minorHAnsi"/>
              </w:rPr>
              <w:t>a late addition to the A</w:t>
            </w:r>
            <w:r w:rsidR="00D168A0">
              <w:rPr>
                <w:rFonts w:asciiTheme="minorHAnsi" w:hAnsiTheme="minorHAnsi" w:cstheme="minorHAnsi"/>
              </w:rPr>
              <w:t>C</w:t>
            </w:r>
            <w:r w:rsidR="0057157E">
              <w:rPr>
                <w:rFonts w:asciiTheme="minorHAnsi" w:hAnsiTheme="minorHAnsi" w:cstheme="minorHAnsi"/>
              </w:rPr>
              <w:t xml:space="preserve">NC legislation, and they </w:t>
            </w:r>
            <w:r w:rsidR="004006F2" w:rsidRPr="004006F2">
              <w:rPr>
                <w:rFonts w:asciiTheme="minorHAnsi" w:hAnsiTheme="minorHAnsi" w:cstheme="minorHAnsi"/>
              </w:rPr>
              <w:t>had a dramatic impact on the ACNC</w:t>
            </w:r>
            <w:r w:rsidR="0057157E">
              <w:rPr>
                <w:rFonts w:asciiTheme="minorHAnsi" w:hAnsiTheme="minorHAnsi" w:cstheme="minorHAnsi"/>
              </w:rPr>
              <w:t xml:space="preserve">’s role as </w:t>
            </w:r>
            <w:r w:rsidR="004006F2" w:rsidRPr="004006F2">
              <w:rPr>
                <w:rFonts w:asciiTheme="minorHAnsi" w:hAnsiTheme="minorHAnsi" w:cstheme="minorHAnsi"/>
              </w:rPr>
              <w:t>it needed to manage the tension between its keenness to engage with and support the sector, and its responsibility to sup</w:t>
            </w:r>
            <w:r w:rsidR="004006F2">
              <w:rPr>
                <w:rFonts w:asciiTheme="minorHAnsi" w:hAnsiTheme="minorHAnsi" w:cstheme="minorHAnsi"/>
              </w:rPr>
              <w:t>ervise and regulate it</w:t>
            </w:r>
          </w:p>
          <w:p w:rsidR="0057157E" w:rsidRDefault="00F52B20" w:rsidP="0014501C">
            <w:pPr>
              <w:spacing w:before="120" w:after="120"/>
              <w:ind w:left="357"/>
              <w:rPr>
                <w:rFonts w:asciiTheme="minorHAnsi" w:hAnsiTheme="minorHAnsi" w:cstheme="minorHAnsi"/>
              </w:rPr>
            </w:pPr>
            <w:r>
              <w:rPr>
                <w:rFonts w:asciiTheme="minorHAnsi" w:hAnsiTheme="minorHAnsi" w:cstheme="minorHAnsi"/>
              </w:rPr>
              <w:t xml:space="preserve">(ii) </w:t>
            </w:r>
            <w:r w:rsidRPr="00F52B20">
              <w:rPr>
                <w:rFonts w:asciiTheme="minorHAnsi" w:hAnsiTheme="minorHAnsi" w:cstheme="minorHAnsi"/>
              </w:rPr>
              <w:t xml:space="preserve">it is unusual for a regulator to have a requirement to support the sustainability of </w:t>
            </w:r>
            <w:r w:rsidR="0057157E">
              <w:rPr>
                <w:rFonts w:asciiTheme="minorHAnsi" w:hAnsiTheme="minorHAnsi" w:cstheme="minorHAnsi"/>
              </w:rPr>
              <w:t>the sector, and</w:t>
            </w:r>
            <w:r w:rsidRPr="00F52B20">
              <w:rPr>
                <w:rFonts w:asciiTheme="minorHAnsi" w:hAnsiTheme="minorHAnsi" w:cstheme="minorHAnsi"/>
              </w:rPr>
              <w:t xml:space="preserve"> there </w:t>
            </w:r>
            <w:r w:rsidR="0057157E">
              <w:rPr>
                <w:rFonts w:asciiTheme="minorHAnsi" w:hAnsiTheme="minorHAnsi" w:cstheme="minorHAnsi"/>
              </w:rPr>
              <w:t xml:space="preserve">are </w:t>
            </w:r>
            <w:r w:rsidRPr="00F52B20">
              <w:rPr>
                <w:rFonts w:asciiTheme="minorHAnsi" w:hAnsiTheme="minorHAnsi" w:cstheme="minorHAnsi"/>
              </w:rPr>
              <w:t xml:space="preserve">few models </w:t>
            </w:r>
            <w:r w:rsidR="0057157E">
              <w:rPr>
                <w:rFonts w:asciiTheme="minorHAnsi" w:hAnsiTheme="minorHAnsi" w:cstheme="minorHAnsi"/>
              </w:rPr>
              <w:t xml:space="preserve">that do so </w:t>
            </w:r>
            <w:r w:rsidRPr="00F52B20">
              <w:rPr>
                <w:rFonts w:asciiTheme="minorHAnsi" w:hAnsiTheme="minorHAnsi" w:cstheme="minorHAnsi"/>
              </w:rPr>
              <w:t>within Australia or internationally</w:t>
            </w:r>
            <w:r w:rsidR="0057157E">
              <w:rPr>
                <w:rFonts w:asciiTheme="minorHAnsi" w:hAnsiTheme="minorHAnsi" w:cstheme="minorHAnsi"/>
              </w:rPr>
              <w:t>, and</w:t>
            </w:r>
          </w:p>
          <w:p w:rsidR="00E97B0F" w:rsidRPr="00E97B0F" w:rsidRDefault="00652926" w:rsidP="0057157E">
            <w:pPr>
              <w:spacing w:before="120" w:after="120"/>
              <w:ind w:left="357"/>
              <w:rPr>
                <w:rFonts w:asciiTheme="minorHAnsi" w:hAnsiTheme="minorHAnsi" w:cstheme="minorHAnsi"/>
              </w:rPr>
            </w:pPr>
            <w:r>
              <w:rPr>
                <w:rFonts w:asciiTheme="minorHAnsi" w:hAnsiTheme="minorHAnsi" w:cstheme="minorHAnsi"/>
              </w:rPr>
              <w:t>(i</w:t>
            </w:r>
            <w:r w:rsidR="0057157E">
              <w:rPr>
                <w:rFonts w:asciiTheme="minorHAnsi" w:hAnsiTheme="minorHAnsi" w:cstheme="minorHAnsi"/>
              </w:rPr>
              <w:t>ii</w:t>
            </w:r>
            <w:r>
              <w:rPr>
                <w:rFonts w:asciiTheme="minorHAnsi" w:hAnsiTheme="minorHAnsi" w:cstheme="minorHAnsi"/>
              </w:rPr>
              <w:t xml:space="preserve">) </w:t>
            </w:r>
            <w:r w:rsidRPr="00652926">
              <w:rPr>
                <w:rFonts w:asciiTheme="minorHAnsi" w:hAnsiTheme="minorHAnsi" w:cstheme="minorHAnsi"/>
              </w:rPr>
              <w:t xml:space="preserve">the ACNC stretched its budget to ensure </w:t>
            </w:r>
            <w:r w:rsidR="00805B4E">
              <w:rPr>
                <w:rFonts w:asciiTheme="minorHAnsi" w:hAnsiTheme="minorHAnsi" w:cstheme="minorHAnsi"/>
              </w:rPr>
              <w:t xml:space="preserve">object 2 </w:t>
            </w:r>
            <w:r w:rsidRPr="00652926">
              <w:rPr>
                <w:rFonts w:asciiTheme="minorHAnsi" w:hAnsiTheme="minorHAnsi" w:cstheme="minorHAnsi"/>
              </w:rPr>
              <w:t xml:space="preserve">was not ignored, taking the view that </w:t>
            </w:r>
            <w:r w:rsidR="0057157E">
              <w:rPr>
                <w:rFonts w:asciiTheme="minorHAnsi" w:hAnsiTheme="minorHAnsi" w:cstheme="minorHAnsi"/>
              </w:rPr>
              <w:t xml:space="preserve">it </w:t>
            </w:r>
            <w:r w:rsidRPr="00652926">
              <w:rPr>
                <w:rFonts w:asciiTheme="minorHAnsi" w:hAnsiTheme="minorHAnsi" w:cstheme="minorHAnsi"/>
              </w:rPr>
              <w:t xml:space="preserve">could </w:t>
            </w:r>
            <w:r w:rsidR="0057157E">
              <w:rPr>
                <w:rFonts w:asciiTheme="minorHAnsi" w:hAnsiTheme="minorHAnsi" w:cstheme="minorHAnsi"/>
              </w:rPr>
              <w:t xml:space="preserve">best </w:t>
            </w:r>
            <w:r w:rsidRPr="00652926">
              <w:rPr>
                <w:rFonts w:asciiTheme="minorHAnsi" w:hAnsiTheme="minorHAnsi" w:cstheme="minorHAnsi"/>
              </w:rPr>
              <w:t xml:space="preserve">support the sustainability of the </w:t>
            </w:r>
            <w:r w:rsidRPr="00D168A0">
              <w:rPr>
                <w:rFonts w:asciiTheme="minorHAnsi" w:hAnsiTheme="minorHAnsi" w:cstheme="minorHAnsi"/>
              </w:rPr>
              <w:t xml:space="preserve">sector </w:t>
            </w:r>
            <w:r w:rsidR="00C60AE1" w:rsidRPr="00D168A0">
              <w:rPr>
                <w:rFonts w:asciiTheme="minorHAnsi" w:hAnsiTheme="minorHAnsi" w:cstheme="minorHAnsi"/>
              </w:rPr>
              <w:t>as a facilitator</w:t>
            </w:r>
            <w:r w:rsidR="00C60AE1">
              <w:rPr>
                <w:rFonts w:asciiTheme="minorHAnsi" w:hAnsiTheme="minorHAnsi" w:cstheme="minorHAnsi"/>
              </w:rPr>
              <w:t xml:space="preserve"> </w:t>
            </w:r>
            <w:r w:rsidRPr="00652926">
              <w:rPr>
                <w:rFonts w:asciiTheme="minorHAnsi" w:hAnsiTheme="minorHAnsi" w:cstheme="minorHAnsi"/>
              </w:rPr>
              <w:t>by building the evidence base and developing its data analysis capability, and sharing th</w:t>
            </w:r>
            <w:r w:rsidR="0057157E">
              <w:rPr>
                <w:rFonts w:asciiTheme="minorHAnsi" w:hAnsiTheme="minorHAnsi" w:cstheme="minorHAnsi"/>
              </w:rPr>
              <w:t xml:space="preserve">is with the sector.  </w:t>
            </w:r>
          </w:p>
        </w:tc>
      </w:tr>
      <w:tr w:rsidR="00E97B0F" w:rsidRPr="00E97B0F" w:rsidTr="00B72FB0">
        <w:tc>
          <w:tcPr>
            <w:tcW w:w="495" w:type="dxa"/>
          </w:tcPr>
          <w:p w:rsidR="00E97B0F" w:rsidRPr="00E97B0F" w:rsidRDefault="00202226" w:rsidP="00FE6325">
            <w:pPr>
              <w:spacing w:before="120" w:after="120"/>
              <w:rPr>
                <w:rFonts w:asciiTheme="minorHAnsi" w:hAnsiTheme="minorHAnsi" w:cstheme="minorHAnsi"/>
              </w:rPr>
            </w:pPr>
            <w:r>
              <w:rPr>
                <w:rFonts w:asciiTheme="minorHAnsi" w:hAnsiTheme="minorHAnsi" w:cstheme="minorHAnsi"/>
              </w:rPr>
              <w:t>9</w:t>
            </w:r>
            <w:r w:rsidR="00E97B0F" w:rsidRPr="00E97B0F">
              <w:rPr>
                <w:rFonts w:asciiTheme="minorHAnsi" w:hAnsiTheme="minorHAnsi" w:cstheme="minorHAnsi"/>
              </w:rPr>
              <w:t>.</w:t>
            </w:r>
          </w:p>
        </w:tc>
        <w:tc>
          <w:tcPr>
            <w:tcW w:w="8969" w:type="dxa"/>
          </w:tcPr>
          <w:p w:rsidR="00652926" w:rsidRPr="00652926" w:rsidRDefault="00652926" w:rsidP="00652926">
            <w:pPr>
              <w:spacing w:before="120" w:after="120"/>
              <w:rPr>
                <w:rFonts w:asciiTheme="minorHAnsi" w:hAnsiTheme="minorHAnsi" w:cstheme="minorHAnsi"/>
                <w:b/>
                <w:i/>
              </w:rPr>
            </w:pPr>
            <w:r w:rsidRPr="00652926">
              <w:rPr>
                <w:rFonts w:asciiTheme="minorHAnsi" w:hAnsiTheme="minorHAnsi" w:cstheme="minorHAnsi"/>
                <w:b/>
                <w:i/>
              </w:rPr>
              <w:t xml:space="preserve">Object 2 – The role of the ACNC in sustaining the </w:t>
            </w:r>
            <w:r w:rsidR="00E2151E">
              <w:rPr>
                <w:rFonts w:asciiTheme="minorHAnsi" w:hAnsiTheme="minorHAnsi" w:cstheme="minorHAnsi"/>
                <w:b/>
                <w:i/>
              </w:rPr>
              <w:t>NFP</w:t>
            </w:r>
            <w:r w:rsidRPr="00652926">
              <w:rPr>
                <w:rFonts w:asciiTheme="minorHAnsi" w:hAnsiTheme="minorHAnsi" w:cstheme="minorHAnsi"/>
                <w:b/>
                <w:i/>
              </w:rPr>
              <w:t xml:space="preserve"> sector</w:t>
            </w:r>
          </w:p>
          <w:p w:rsidR="00E97B0F" w:rsidRPr="00E97B0F" w:rsidRDefault="00E97B0F" w:rsidP="00FE6325">
            <w:pPr>
              <w:spacing w:before="120" w:after="120"/>
              <w:rPr>
                <w:rFonts w:asciiTheme="minorHAnsi" w:hAnsiTheme="minorHAnsi" w:cstheme="minorHAnsi"/>
              </w:rPr>
            </w:pPr>
            <w:r w:rsidRPr="00E97B0F">
              <w:rPr>
                <w:rFonts w:asciiTheme="minorHAnsi" w:hAnsiTheme="minorHAnsi" w:cstheme="minorHAnsi"/>
              </w:rPr>
              <w:t xml:space="preserve">Consider the arguments for the ACNC regulatory role </w:t>
            </w:r>
            <w:r w:rsidR="00652926">
              <w:rPr>
                <w:rFonts w:asciiTheme="minorHAnsi" w:hAnsiTheme="minorHAnsi" w:cstheme="minorHAnsi"/>
              </w:rPr>
              <w:t xml:space="preserve">being </w:t>
            </w:r>
            <w:r w:rsidRPr="00E97B0F">
              <w:rPr>
                <w:rFonts w:asciiTheme="minorHAnsi" w:hAnsiTheme="minorHAnsi" w:cstheme="minorHAnsi"/>
              </w:rPr>
              <w:t xml:space="preserve">separate from the capacity building role for the </w:t>
            </w:r>
            <w:r w:rsidR="00E2151E">
              <w:rPr>
                <w:rFonts w:asciiTheme="minorHAnsi" w:hAnsiTheme="minorHAnsi" w:cstheme="minorHAnsi"/>
              </w:rPr>
              <w:t xml:space="preserve">NFP </w:t>
            </w:r>
            <w:r w:rsidRPr="00E97B0F">
              <w:rPr>
                <w:rFonts w:asciiTheme="minorHAnsi" w:hAnsiTheme="minorHAnsi" w:cstheme="minorHAnsi"/>
              </w:rPr>
              <w:t>sector contained in Object 2, which include:</w:t>
            </w:r>
          </w:p>
          <w:p w:rsidR="00E97B0F" w:rsidRPr="00E97B0F" w:rsidRDefault="00E97B0F" w:rsidP="005131E3">
            <w:pPr>
              <w:numPr>
                <w:ilvl w:val="0"/>
                <w:numId w:val="26"/>
              </w:numPr>
              <w:spacing w:before="120" w:after="120"/>
              <w:ind w:left="357" w:hanging="357"/>
              <w:rPr>
                <w:rFonts w:asciiTheme="minorHAnsi" w:hAnsiTheme="minorHAnsi" w:cstheme="minorHAnsi"/>
              </w:rPr>
            </w:pPr>
            <w:r w:rsidRPr="00E97B0F">
              <w:rPr>
                <w:rFonts w:asciiTheme="minorHAnsi" w:hAnsiTheme="minorHAnsi" w:cstheme="minorHAnsi"/>
              </w:rPr>
              <w:t xml:space="preserve">the need for the ACNC to avoid the actuality or the perception of ‘regulatory capture’ </w:t>
            </w:r>
            <w:r w:rsidR="00792394">
              <w:rPr>
                <w:rFonts w:asciiTheme="minorHAnsi" w:hAnsiTheme="minorHAnsi" w:cstheme="minorHAnsi"/>
              </w:rPr>
              <w:t>by the sector</w:t>
            </w:r>
            <w:r w:rsidRPr="00E97B0F">
              <w:rPr>
                <w:rFonts w:asciiTheme="minorHAnsi" w:hAnsiTheme="minorHAnsi" w:cstheme="minorHAnsi"/>
              </w:rPr>
              <w:t xml:space="preserve"> </w:t>
            </w:r>
          </w:p>
          <w:p w:rsidR="00CD45CB" w:rsidRDefault="00E97B0F" w:rsidP="005131E3">
            <w:pPr>
              <w:numPr>
                <w:ilvl w:val="0"/>
                <w:numId w:val="26"/>
              </w:numPr>
              <w:spacing w:before="120" w:after="120"/>
              <w:ind w:left="357" w:hanging="357"/>
              <w:rPr>
                <w:rFonts w:asciiTheme="minorHAnsi" w:hAnsiTheme="minorHAnsi" w:cstheme="minorHAnsi"/>
              </w:rPr>
            </w:pPr>
            <w:r w:rsidRPr="00E97B0F">
              <w:rPr>
                <w:rFonts w:asciiTheme="minorHAnsi" w:hAnsiTheme="minorHAnsi" w:cstheme="minorHAnsi"/>
              </w:rPr>
              <w:t>the sector should be directing its own development, and that too much involvement from Go</w:t>
            </w:r>
            <w:r w:rsidR="00792394">
              <w:rPr>
                <w:rFonts w:asciiTheme="minorHAnsi" w:hAnsiTheme="minorHAnsi" w:cstheme="minorHAnsi"/>
              </w:rPr>
              <w:t xml:space="preserve">vernment can quash innovation, </w:t>
            </w:r>
          </w:p>
          <w:p w:rsidR="003A2550" w:rsidRPr="00A2234B" w:rsidRDefault="00CD45CB" w:rsidP="005131E3">
            <w:pPr>
              <w:numPr>
                <w:ilvl w:val="0"/>
                <w:numId w:val="26"/>
              </w:numPr>
              <w:spacing w:before="120" w:after="120"/>
              <w:ind w:left="357" w:hanging="357"/>
              <w:rPr>
                <w:rFonts w:asciiTheme="minorHAnsi" w:hAnsiTheme="minorHAnsi" w:cstheme="minorHAnsi"/>
              </w:rPr>
            </w:pPr>
            <w:r w:rsidRPr="00A2234B">
              <w:rPr>
                <w:rFonts w:asciiTheme="minorHAnsi" w:hAnsiTheme="minorHAnsi" w:cstheme="minorHAnsi"/>
              </w:rPr>
              <w:t xml:space="preserve">the evidence from overseas is that regulatory </w:t>
            </w:r>
            <w:r w:rsidR="00A2234B" w:rsidRPr="00A2234B">
              <w:rPr>
                <w:rFonts w:asciiTheme="minorHAnsi" w:hAnsiTheme="minorHAnsi" w:cstheme="minorHAnsi"/>
              </w:rPr>
              <w:t>bodies for the charities sector maintain separation between their regulatory roles and sector development</w:t>
            </w:r>
            <w:r w:rsidR="00A2234B">
              <w:rPr>
                <w:rFonts w:asciiTheme="minorHAnsi" w:hAnsiTheme="minorHAnsi" w:cstheme="minorHAnsi"/>
              </w:rPr>
              <w:t xml:space="preserve">, </w:t>
            </w:r>
            <w:r w:rsidR="00792394" w:rsidRPr="00A2234B">
              <w:rPr>
                <w:rFonts w:asciiTheme="minorHAnsi" w:hAnsiTheme="minorHAnsi" w:cstheme="minorHAnsi"/>
              </w:rPr>
              <w:t>and</w:t>
            </w:r>
            <w:r w:rsidR="003A2550">
              <w:rPr>
                <w:rFonts w:asciiTheme="minorHAnsi" w:hAnsiTheme="minorHAnsi" w:cstheme="minorHAnsi"/>
              </w:rPr>
              <w:t xml:space="preserve"> that being an effective regulator to ensure </w:t>
            </w:r>
            <w:r w:rsidR="003A2550" w:rsidRPr="003A2550">
              <w:rPr>
                <w:rFonts w:asciiTheme="minorHAnsi" w:hAnsiTheme="minorHAnsi" w:cstheme="minorHAnsi"/>
              </w:rPr>
              <w:t>public trust and confidence in the sector is not compatible with acting as a ‘cheerleader’ for the sector</w:t>
            </w:r>
            <w:r w:rsidR="003A2550">
              <w:rPr>
                <w:rFonts w:asciiTheme="minorHAnsi" w:hAnsiTheme="minorHAnsi" w:cstheme="minorHAnsi"/>
              </w:rPr>
              <w:t>, and</w:t>
            </w:r>
          </w:p>
          <w:p w:rsidR="00E97B0F" w:rsidRPr="00E97B0F" w:rsidRDefault="00953848" w:rsidP="005131E3">
            <w:pPr>
              <w:numPr>
                <w:ilvl w:val="0"/>
                <w:numId w:val="26"/>
              </w:numPr>
              <w:spacing w:before="120" w:after="120"/>
              <w:ind w:left="357" w:hanging="357"/>
              <w:rPr>
                <w:rFonts w:asciiTheme="minorHAnsi" w:hAnsiTheme="minorHAnsi" w:cstheme="minorHAnsi"/>
              </w:rPr>
            </w:pPr>
            <w:r>
              <w:rPr>
                <w:rFonts w:asciiTheme="minorHAnsi" w:hAnsiTheme="minorHAnsi" w:cstheme="minorHAnsi"/>
              </w:rPr>
              <w:t>a</w:t>
            </w:r>
            <w:r w:rsidR="00E97B0F" w:rsidRPr="00E97B0F">
              <w:rPr>
                <w:rFonts w:asciiTheme="minorHAnsi" w:hAnsiTheme="minorHAnsi" w:cstheme="minorHAnsi"/>
              </w:rPr>
              <w:t xml:space="preserve"> strong, thriving civil society needs to meet the challenges of a rapidly changing world, through innovation and democratic principles. Sometimes the best assistance Government can provide is merely getting out of the way.   </w:t>
            </w:r>
          </w:p>
        </w:tc>
      </w:tr>
      <w:tr w:rsidR="00E97B0F" w:rsidRPr="00E97B0F" w:rsidTr="00B72FB0">
        <w:tc>
          <w:tcPr>
            <w:tcW w:w="495" w:type="dxa"/>
          </w:tcPr>
          <w:p w:rsidR="00E97B0F" w:rsidRPr="00E97B0F" w:rsidRDefault="00202226" w:rsidP="00DE3DD4">
            <w:pPr>
              <w:spacing w:before="120" w:after="120"/>
              <w:rPr>
                <w:rFonts w:asciiTheme="minorHAnsi" w:hAnsiTheme="minorHAnsi" w:cstheme="minorHAnsi"/>
              </w:rPr>
            </w:pPr>
            <w:r>
              <w:rPr>
                <w:rFonts w:asciiTheme="minorHAnsi" w:hAnsiTheme="minorHAnsi" w:cstheme="minorHAnsi"/>
              </w:rPr>
              <w:t>10</w:t>
            </w:r>
            <w:r w:rsidR="00E97B0F" w:rsidRPr="00E97B0F">
              <w:rPr>
                <w:rFonts w:asciiTheme="minorHAnsi" w:hAnsiTheme="minorHAnsi" w:cstheme="minorHAnsi"/>
              </w:rPr>
              <w:t>.</w:t>
            </w:r>
          </w:p>
        </w:tc>
        <w:tc>
          <w:tcPr>
            <w:tcW w:w="8969" w:type="dxa"/>
          </w:tcPr>
          <w:p w:rsidR="00652926" w:rsidRPr="00652926" w:rsidRDefault="00652926" w:rsidP="00652926">
            <w:pPr>
              <w:spacing w:before="120" w:after="120"/>
              <w:rPr>
                <w:rFonts w:asciiTheme="minorHAnsi" w:hAnsiTheme="minorHAnsi" w:cstheme="minorHAnsi"/>
                <w:b/>
                <w:i/>
              </w:rPr>
            </w:pPr>
            <w:r w:rsidRPr="00652926">
              <w:rPr>
                <w:rFonts w:asciiTheme="minorHAnsi" w:hAnsiTheme="minorHAnsi" w:cstheme="minorHAnsi"/>
                <w:b/>
                <w:i/>
              </w:rPr>
              <w:t>Object 2 – The role of the ACNC in sustaining the NFP sector</w:t>
            </w:r>
          </w:p>
          <w:p w:rsidR="00E97B0F" w:rsidRPr="00E97B0F" w:rsidRDefault="00E97B0F" w:rsidP="00FE6325">
            <w:pPr>
              <w:spacing w:before="120" w:after="120"/>
              <w:rPr>
                <w:rFonts w:asciiTheme="minorHAnsi" w:hAnsiTheme="minorHAnsi" w:cstheme="minorHAnsi"/>
              </w:rPr>
            </w:pPr>
            <w:r w:rsidRPr="00E97B0F">
              <w:rPr>
                <w:rFonts w:asciiTheme="minorHAnsi" w:hAnsiTheme="minorHAnsi" w:cstheme="minorHAnsi"/>
              </w:rPr>
              <w:t xml:space="preserve">Consider that the Government can assist to build </w:t>
            </w:r>
            <w:r w:rsidR="00B3633B">
              <w:rPr>
                <w:rFonts w:asciiTheme="minorHAnsi" w:hAnsiTheme="minorHAnsi" w:cstheme="minorHAnsi"/>
              </w:rPr>
              <w:t xml:space="preserve">and sustain </w:t>
            </w:r>
            <w:r w:rsidRPr="00E97B0F">
              <w:rPr>
                <w:rFonts w:asciiTheme="minorHAnsi" w:hAnsiTheme="minorHAnsi" w:cstheme="minorHAnsi"/>
              </w:rPr>
              <w:t xml:space="preserve">the NFP sector’s </w:t>
            </w:r>
            <w:r w:rsidR="00B3633B">
              <w:rPr>
                <w:rFonts w:asciiTheme="minorHAnsi" w:hAnsiTheme="minorHAnsi" w:cstheme="minorHAnsi"/>
              </w:rPr>
              <w:t xml:space="preserve">financial, governance and innovative </w:t>
            </w:r>
            <w:r w:rsidRPr="00E97B0F">
              <w:rPr>
                <w:rFonts w:asciiTheme="minorHAnsi" w:hAnsiTheme="minorHAnsi" w:cstheme="minorHAnsi"/>
              </w:rPr>
              <w:t>capacity in other ways that is distinct from the ACNC’s regulator role</w:t>
            </w:r>
            <w:r w:rsidR="009A3A52">
              <w:rPr>
                <w:rFonts w:asciiTheme="minorHAnsi" w:hAnsiTheme="minorHAnsi" w:cstheme="minorHAnsi"/>
              </w:rPr>
              <w:t xml:space="preserve">, </w:t>
            </w:r>
            <w:r w:rsidRPr="00E97B0F">
              <w:rPr>
                <w:rFonts w:asciiTheme="minorHAnsi" w:hAnsiTheme="minorHAnsi" w:cstheme="minorHAnsi"/>
              </w:rPr>
              <w:t>for example</w:t>
            </w:r>
            <w:r w:rsidR="009A3A52">
              <w:rPr>
                <w:rFonts w:asciiTheme="minorHAnsi" w:hAnsiTheme="minorHAnsi" w:cstheme="minorHAnsi"/>
              </w:rPr>
              <w:t xml:space="preserve"> through</w:t>
            </w:r>
            <w:r w:rsidRPr="00E97B0F">
              <w:rPr>
                <w:rFonts w:asciiTheme="minorHAnsi" w:hAnsiTheme="minorHAnsi" w:cstheme="minorHAnsi"/>
              </w:rPr>
              <w:t>:</w:t>
            </w:r>
          </w:p>
          <w:p w:rsidR="00E97B0F" w:rsidRPr="00E97B0F" w:rsidRDefault="00B3633B" w:rsidP="005131E3">
            <w:pPr>
              <w:numPr>
                <w:ilvl w:val="0"/>
                <w:numId w:val="23"/>
              </w:numPr>
              <w:spacing w:before="120" w:after="120"/>
              <w:rPr>
                <w:rFonts w:asciiTheme="minorHAnsi" w:hAnsiTheme="minorHAnsi" w:cstheme="minorHAnsi"/>
              </w:rPr>
            </w:pPr>
            <w:r>
              <w:rPr>
                <w:rFonts w:asciiTheme="minorHAnsi" w:hAnsiTheme="minorHAnsi" w:cstheme="minorHAnsi"/>
              </w:rPr>
              <w:t xml:space="preserve">implementing the </w:t>
            </w:r>
            <w:r w:rsidR="00E97B0F" w:rsidRPr="00E97B0F">
              <w:rPr>
                <w:rFonts w:asciiTheme="minorHAnsi" w:hAnsiTheme="minorHAnsi" w:cstheme="minorHAnsi"/>
              </w:rPr>
              <w:t>P</w:t>
            </w:r>
            <w:r w:rsidR="007E183F">
              <w:rPr>
                <w:rFonts w:asciiTheme="minorHAnsi" w:hAnsiTheme="minorHAnsi" w:cstheme="minorHAnsi"/>
              </w:rPr>
              <w:t>roductivity Commission Draft Report on Inquiry into H</w:t>
            </w:r>
            <w:r w:rsidR="00E97B0F" w:rsidRPr="00E97B0F">
              <w:rPr>
                <w:rFonts w:asciiTheme="minorHAnsi" w:hAnsiTheme="minorHAnsi" w:cstheme="minorHAnsi"/>
              </w:rPr>
              <w:t>uman Services recommendations about extending funding contract length for service providers,</w:t>
            </w:r>
          </w:p>
          <w:p w:rsidR="00E97B0F" w:rsidRDefault="00E97B0F" w:rsidP="005131E3">
            <w:pPr>
              <w:numPr>
                <w:ilvl w:val="0"/>
                <w:numId w:val="23"/>
              </w:numPr>
              <w:spacing w:before="120" w:after="120"/>
              <w:rPr>
                <w:rFonts w:asciiTheme="minorHAnsi" w:hAnsiTheme="minorHAnsi" w:cstheme="minorHAnsi"/>
              </w:rPr>
            </w:pPr>
            <w:r w:rsidRPr="00E97B0F">
              <w:rPr>
                <w:rFonts w:asciiTheme="minorHAnsi" w:hAnsiTheme="minorHAnsi" w:cstheme="minorHAnsi"/>
              </w:rPr>
              <w:t>stimulating social innovation and incentivising new approaches in social impact investment and outcomes measurement,</w:t>
            </w:r>
          </w:p>
          <w:p w:rsidR="00BE485B" w:rsidRPr="00D168A0" w:rsidRDefault="00C60AE1" w:rsidP="005131E3">
            <w:pPr>
              <w:pStyle w:val="ListParagraph"/>
              <w:numPr>
                <w:ilvl w:val="0"/>
                <w:numId w:val="23"/>
              </w:numPr>
              <w:spacing w:before="120" w:after="120"/>
              <w:contextualSpacing w:val="0"/>
              <w:rPr>
                <w:rFonts w:asciiTheme="minorHAnsi" w:hAnsiTheme="minorHAnsi" w:cstheme="minorHAnsi"/>
              </w:rPr>
            </w:pPr>
            <w:r w:rsidRPr="00D168A0">
              <w:rPr>
                <w:rFonts w:asciiTheme="minorHAnsi" w:hAnsiTheme="minorHAnsi" w:cstheme="minorHAnsi"/>
              </w:rPr>
              <w:t xml:space="preserve">helping to implement </w:t>
            </w:r>
            <w:r w:rsidR="00BE485B" w:rsidRPr="00D168A0">
              <w:rPr>
                <w:rFonts w:asciiTheme="minorHAnsi" w:hAnsiTheme="minorHAnsi" w:cstheme="minorHAnsi"/>
              </w:rPr>
              <w:t>a sector wide outcomes reporting framework that forms part of, or complements, the ACNC Annual Information Statement process and assists NFPs in demonstrating to donors and investors how they make an impact</w:t>
            </w:r>
            <w:r w:rsidR="009D1D39" w:rsidRPr="00D168A0">
              <w:rPr>
                <w:rFonts w:asciiTheme="minorHAnsi" w:hAnsiTheme="minorHAnsi" w:cstheme="minorHAnsi"/>
              </w:rPr>
              <w:t xml:space="preserve"> and their value</w:t>
            </w:r>
          </w:p>
          <w:p w:rsidR="00E97B0F" w:rsidRPr="00E97B0F" w:rsidRDefault="00E97B0F" w:rsidP="005131E3">
            <w:pPr>
              <w:numPr>
                <w:ilvl w:val="0"/>
                <w:numId w:val="23"/>
              </w:numPr>
              <w:spacing w:before="120" w:after="120"/>
              <w:rPr>
                <w:rFonts w:asciiTheme="minorHAnsi" w:hAnsiTheme="minorHAnsi" w:cstheme="minorHAnsi"/>
              </w:rPr>
            </w:pPr>
            <w:r w:rsidRPr="00E97B0F">
              <w:rPr>
                <w:rFonts w:asciiTheme="minorHAnsi" w:hAnsiTheme="minorHAnsi" w:cstheme="minorHAnsi"/>
              </w:rPr>
              <w:t xml:space="preserve">removing barriers to NFPs and social enterprises scaling for impact, </w:t>
            </w:r>
          </w:p>
          <w:p w:rsidR="00E97B0F" w:rsidRPr="00E97B0F" w:rsidRDefault="00E97B0F" w:rsidP="005131E3">
            <w:pPr>
              <w:numPr>
                <w:ilvl w:val="0"/>
                <w:numId w:val="23"/>
              </w:numPr>
              <w:spacing w:before="120" w:after="120"/>
              <w:rPr>
                <w:rFonts w:asciiTheme="minorHAnsi" w:hAnsiTheme="minorHAnsi" w:cstheme="minorHAnsi"/>
              </w:rPr>
            </w:pPr>
            <w:r w:rsidRPr="00E97B0F">
              <w:rPr>
                <w:rFonts w:asciiTheme="minorHAnsi" w:hAnsiTheme="minorHAnsi" w:cstheme="minorHAnsi"/>
              </w:rPr>
              <w:t>revisiting a model for establishment of a National Centre for Excellence as an aggregator, network facilitator, though</w:t>
            </w:r>
            <w:r w:rsidR="00D168A0">
              <w:rPr>
                <w:rFonts w:asciiTheme="minorHAnsi" w:hAnsiTheme="minorHAnsi" w:cstheme="minorHAnsi"/>
              </w:rPr>
              <w:t>t</w:t>
            </w:r>
            <w:r w:rsidRPr="00E97B0F">
              <w:rPr>
                <w:rFonts w:asciiTheme="minorHAnsi" w:hAnsiTheme="minorHAnsi" w:cstheme="minorHAnsi"/>
              </w:rPr>
              <w:t xml:space="preserve"> leader and catalyser for </w:t>
            </w:r>
            <w:r w:rsidR="006C3A7D" w:rsidRPr="00D168A0">
              <w:rPr>
                <w:rFonts w:asciiTheme="minorHAnsi" w:hAnsiTheme="minorHAnsi" w:cstheme="minorHAnsi"/>
              </w:rPr>
              <w:t>development of</w:t>
            </w:r>
            <w:r w:rsidR="006C3A7D">
              <w:rPr>
                <w:rFonts w:asciiTheme="minorHAnsi" w:hAnsiTheme="minorHAnsi" w:cstheme="minorHAnsi"/>
              </w:rPr>
              <w:t xml:space="preserve"> </w:t>
            </w:r>
            <w:r w:rsidRPr="00E97B0F">
              <w:rPr>
                <w:rFonts w:asciiTheme="minorHAnsi" w:hAnsiTheme="minorHAnsi" w:cstheme="minorHAnsi"/>
              </w:rPr>
              <w:t>the NFP sector,</w:t>
            </w:r>
          </w:p>
          <w:p w:rsidR="00E97B0F" w:rsidRPr="00E97B0F" w:rsidRDefault="00E97B0F" w:rsidP="00D168A0">
            <w:pPr>
              <w:numPr>
                <w:ilvl w:val="0"/>
                <w:numId w:val="23"/>
              </w:numPr>
              <w:spacing w:before="120" w:after="120"/>
              <w:rPr>
                <w:rFonts w:asciiTheme="minorHAnsi" w:hAnsiTheme="minorHAnsi" w:cstheme="minorHAnsi"/>
              </w:rPr>
            </w:pPr>
            <w:r w:rsidRPr="00E97B0F">
              <w:rPr>
                <w:rFonts w:asciiTheme="minorHAnsi" w:hAnsiTheme="minorHAnsi" w:cstheme="minorHAnsi"/>
              </w:rPr>
              <w:t xml:space="preserve">encouraging philanthropists and corporate givers to support innovation in the sector.  For example, </w:t>
            </w:r>
            <w:r w:rsidR="00D168A0">
              <w:rPr>
                <w:rFonts w:asciiTheme="minorHAnsi" w:hAnsiTheme="minorHAnsi" w:cstheme="minorHAnsi"/>
              </w:rPr>
              <w:t xml:space="preserve">adoption </w:t>
            </w:r>
            <w:r w:rsidRPr="00E97B0F">
              <w:rPr>
                <w:rFonts w:asciiTheme="minorHAnsi" w:hAnsiTheme="minorHAnsi" w:cstheme="minorHAnsi"/>
              </w:rPr>
              <w:t>of Program Related Investments (PRI)</w:t>
            </w:r>
            <w:r w:rsidR="00D168A0">
              <w:rPr>
                <w:rFonts w:asciiTheme="minorHAnsi" w:hAnsiTheme="minorHAnsi" w:cstheme="minorHAnsi"/>
              </w:rPr>
              <w:t xml:space="preserve"> to achieve outcomes</w:t>
            </w:r>
            <w:r w:rsidRPr="00E97B0F">
              <w:rPr>
                <w:rFonts w:asciiTheme="minorHAnsi" w:hAnsiTheme="minorHAnsi" w:cstheme="minorHAnsi"/>
              </w:rPr>
              <w:t xml:space="preserve">.  </w:t>
            </w:r>
          </w:p>
        </w:tc>
      </w:tr>
      <w:tr w:rsidR="00E507FC" w:rsidRPr="00E97B0F" w:rsidTr="00B72FB0">
        <w:tc>
          <w:tcPr>
            <w:tcW w:w="495" w:type="dxa"/>
          </w:tcPr>
          <w:p w:rsidR="00E507FC" w:rsidRPr="00E97B0F" w:rsidRDefault="00E507FC" w:rsidP="00BD700F">
            <w:pPr>
              <w:spacing w:before="120" w:after="120"/>
              <w:rPr>
                <w:rFonts w:asciiTheme="minorHAnsi" w:hAnsiTheme="minorHAnsi" w:cstheme="minorHAnsi"/>
              </w:rPr>
            </w:pPr>
            <w:r w:rsidRPr="00E97B0F">
              <w:rPr>
                <w:rFonts w:asciiTheme="minorHAnsi" w:hAnsiTheme="minorHAnsi" w:cstheme="minorHAnsi"/>
              </w:rPr>
              <w:t>1</w:t>
            </w:r>
            <w:r w:rsidR="00BD700F">
              <w:rPr>
                <w:rFonts w:asciiTheme="minorHAnsi" w:hAnsiTheme="minorHAnsi" w:cstheme="minorHAnsi"/>
              </w:rPr>
              <w:t>1</w:t>
            </w:r>
            <w:r w:rsidRPr="00E97B0F">
              <w:rPr>
                <w:rFonts w:asciiTheme="minorHAnsi" w:hAnsiTheme="minorHAnsi" w:cstheme="minorHAnsi"/>
              </w:rPr>
              <w:t>.</w:t>
            </w:r>
          </w:p>
        </w:tc>
        <w:tc>
          <w:tcPr>
            <w:tcW w:w="8969" w:type="dxa"/>
          </w:tcPr>
          <w:p w:rsidR="00E507FC" w:rsidRPr="002B2389" w:rsidRDefault="00E507FC" w:rsidP="00FD0FDC">
            <w:pPr>
              <w:spacing w:before="120" w:after="120"/>
              <w:rPr>
                <w:rFonts w:asciiTheme="minorHAnsi" w:hAnsiTheme="minorHAnsi" w:cstheme="minorHAnsi"/>
                <w:b/>
                <w:i/>
              </w:rPr>
            </w:pPr>
            <w:r w:rsidRPr="002B2389">
              <w:rPr>
                <w:rFonts w:asciiTheme="minorHAnsi" w:hAnsiTheme="minorHAnsi" w:cstheme="minorHAnsi"/>
                <w:b/>
                <w:i/>
              </w:rPr>
              <w:t xml:space="preserve">Object 2 </w:t>
            </w:r>
            <w:r>
              <w:rPr>
                <w:rFonts w:asciiTheme="minorHAnsi" w:hAnsiTheme="minorHAnsi" w:cstheme="minorHAnsi"/>
                <w:b/>
                <w:i/>
              </w:rPr>
              <w:t>–</w:t>
            </w:r>
            <w:r w:rsidRPr="002B2389">
              <w:rPr>
                <w:rFonts w:asciiTheme="minorHAnsi" w:hAnsiTheme="minorHAnsi" w:cstheme="minorHAnsi"/>
                <w:b/>
                <w:i/>
              </w:rPr>
              <w:t xml:space="preserve"> </w:t>
            </w:r>
            <w:r w:rsidR="00E375B7">
              <w:rPr>
                <w:rFonts w:asciiTheme="minorHAnsi" w:hAnsiTheme="minorHAnsi" w:cstheme="minorHAnsi"/>
                <w:b/>
                <w:i/>
              </w:rPr>
              <w:t>Charity</w:t>
            </w:r>
            <w:r>
              <w:rPr>
                <w:rFonts w:asciiTheme="minorHAnsi" w:hAnsiTheme="minorHAnsi" w:cstheme="minorHAnsi"/>
                <w:b/>
                <w:i/>
              </w:rPr>
              <w:t xml:space="preserve"> sector financial status and revenue sources</w:t>
            </w:r>
          </w:p>
          <w:p w:rsidR="00E507FC" w:rsidRDefault="00E507FC" w:rsidP="00FD0FDC">
            <w:pPr>
              <w:spacing w:before="120" w:after="120"/>
              <w:rPr>
                <w:rFonts w:asciiTheme="minorHAnsi" w:hAnsiTheme="minorHAnsi" w:cstheme="minorHAnsi"/>
              </w:rPr>
            </w:pPr>
            <w:r>
              <w:rPr>
                <w:rFonts w:asciiTheme="minorHAnsi" w:hAnsiTheme="minorHAnsi" w:cstheme="minorHAnsi"/>
              </w:rPr>
              <w:t>Consider that:</w:t>
            </w:r>
          </w:p>
          <w:p w:rsidR="00E375B7" w:rsidRPr="00E375B7" w:rsidRDefault="00E375B7" w:rsidP="00E375B7">
            <w:pPr>
              <w:pStyle w:val="ListParagraph"/>
              <w:numPr>
                <w:ilvl w:val="0"/>
                <w:numId w:val="42"/>
              </w:numPr>
              <w:ind w:left="360"/>
              <w:rPr>
                <w:rFonts w:asciiTheme="minorHAnsi" w:hAnsiTheme="minorHAnsi" w:cstheme="minorHAnsi"/>
              </w:rPr>
            </w:pPr>
            <w:r w:rsidRPr="00E375B7">
              <w:rPr>
                <w:rFonts w:asciiTheme="minorHAnsi" w:hAnsiTheme="minorHAnsi" w:cstheme="minorHAnsi"/>
              </w:rPr>
              <w:t>diversifying income streams and establishing income streams independent of government contracts is a valuable strategy to address funding vulnerability and secure a charity’s future</w:t>
            </w:r>
          </w:p>
          <w:p w:rsidR="00E507FC" w:rsidRDefault="00D06CC3" w:rsidP="00E375B7">
            <w:pPr>
              <w:pStyle w:val="ListParagraph"/>
              <w:numPr>
                <w:ilvl w:val="0"/>
                <w:numId w:val="42"/>
              </w:numPr>
              <w:spacing w:before="120" w:after="120"/>
              <w:ind w:left="360"/>
              <w:contextualSpacing w:val="0"/>
              <w:rPr>
                <w:rFonts w:asciiTheme="minorHAnsi" w:hAnsiTheme="minorHAnsi" w:cstheme="minorHAnsi"/>
              </w:rPr>
            </w:pPr>
            <w:r>
              <w:rPr>
                <w:rFonts w:asciiTheme="minorHAnsi" w:hAnsiTheme="minorHAnsi" w:cstheme="minorHAnsi"/>
              </w:rPr>
              <w:t>f</w:t>
            </w:r>
            <w:r w:rsidR="00E507FC" w:rsidRPr="00E1727C">
              <w:rPr>
                <w:rFonts w:asciiTheme="minorHAnsi" w:hAnsiTheme="minorHAnsi" w:cstheme="minorHAnsi"/>
              </w:rPr>
              <w:t xml:space="preserve">urther work be done by the ACNC into the issue of </w:t>
            </w:r>
            <w:r w:rsidR="00837C1C">
              <w:rPr>
                <w:rFonts w:asciiTheme="minorHAnsi" w:hAnsiTheme="minorHAnsi" w:cstheme="minorHAnsi"/>
              </w:rPr>
              <w:t>c</w:t>
            </w:r>
            <w:r w:rsidR="00E375B7">
              <w:rPr>
                <w:rFonts w:asciiTheme="minorHAnsi" w:hAnsiTheme="minorHAnsi" w:cstheme="minorHAnsi"/>
              </w:rPr>
              <w:t xml:space="preserve">harity </w:t>
            </w:r>
            <w:r w:rsidR="00E507FC" w:rsidRPr="00E1727C">
              <w:rPr>
                <w:rFonts w:asciiTheme="minorHAnsi" w:hAnsiTheme="minorHAnsi" w:cstheme="minorHAnsi"/>
              </w:rPr>
              <w:t>revenue concentration and diversification to better understand how this impacts charit</w:t>
            </w:r>
            <w:r w:rsidR="00E84957">
              <w:rPr>
                <w:rFonts w:asciiTheme="minorHAnsi" w:hAnsiTheme="minorHAnsi" w:cstheme="minorHAnsi"/>
              </w:rPr>
              <w:t>y</w:t>
            </w:r>
            <w:r w:rsidR="00E507FC" w:rsidRPr="00E1727C">
              <w:rPr>
                <w:rFonts w:asciiTheme="minorHAnsi" w:hAnsiTheme="minorHAnsi" w:cstheme="minorHAnsi"/>
              </w:rPr>
              <w:t xml:space="preserve"> financial viability, risk and sustainability</w:t>
            </w:r>
          </w:p>
          <w:p w:rsidR="00E375B7" w:rsidRDefault="00E375B7" w:rsidP="00E375B7">
            <w:pPr>
              <w:pStyle w:val="ListParagraph"/>
              <w:numPr>
                <w:ilvl w:val="0"/>
                <w:numId w:val="42"/>
              </w:numPr>
              <w:spacing w:before="120" w:after="120"/>
              <w:ind w:left="360"/>
              <w:contextualSpacing w:val="0"/>
              <w:rPr>
                <w:rFonts w:asciiTheme="minorHAnsi" w:hAnsiTheme="minorHAnsi" w:cstheme="minorHAnsi"/>
              </w:rPr>
            </w:pPr>
            <w:r>
              <w:rPr>
                <w:rFonts w:asciiTheme="minorHAnsi" w:hAnsiTheme="minorHAnsi" w:cstheme="minorHAnsi"/>
              </w:rPr>
              <w:t>charities should be encouraged to build financial stability via equity in their balance sheets, and</w:t>
            </w:r>
          </w:p>
          <w:p w:rsidR="00E375B7" w:rsidRPr="00E1727C" w:rsidRDefault="00E2151E" w:rsidP="00E375B7">
            <w:pPr>
              <w:pStyle w:val="ListParagraph"/>
              <w:numPr>
                <w:ilvl w:val="0"/>
                <w:numId w:val="42"/>
              </w:numPr>
              <w:spacing w:before="120" w:after="120"/>
              <w:ind w:left="360"/>
              <w:contextualSpacing w:val="0"/>
              <w:rPr>
                <w:rFonts w:asciiTheme="minorHAnsi" w:hAnsiTheme="minorHAnsi" w:cstheme="minorHAnsi"/>
              </w:rPr>
            </w:pPr>
            <w:r>
              <w:rPr>
                <w:rFonts w:asciiTheme="minorHAnsi" w:hAnsiTheme="minorHAnsi" w:cstheme="minorHAnsi"/>
              </w:rPr>
              <w:t xml:space="preserve">an </w:t>
            </w:r>
            <w:r w:rsidR="00E375B7" w:rsidRPr="00E1727C">
              <w:rPr>
                <w:rFonts w:asciiTheme="minorHAnsi" w:hAnsiTheme="minorHAnsi" w:cstheme="minorHAnsi"/>
              </w:rPr>
              <w:t xml:space="preserve">organisation’s Board has a critical role in change or innovation, and in risk management </w:t>
            </w:r>
            <w:r w:rsidR="00E375B7">
              <w:rPr>
                <w:rFonts w:asciiTheme="minorHAnsi" w:hAnsiTheme="minorHAnsi" w:cstheme="minorHAnsi"/>
              </w:rPr>
              <w:t xml:space="preserve">and/or oversight </w:t>
            </w:r>
            <w:r w:rsidR="00E375B7" w:rsidRPr="00E1727C">
              <w:rPr>
                <w:rFonts w:asciiTheme="minorHAnsi" w:hAnsiTheme="minorHAnsi" w:cstheme="minorHAnsi"/>
              </w:rPr>
              <w:t>related to generating new income streams or investments.  A Board that is highly risk adverse to change or innovation can impede progress</w:t>
            </w:r>
            <w:r w:rsidR="00E375B7">
              <w:rPr>
                <w:rFonts w:asciiTheme="minorHAnsi" w:hAnsiTheme="minorHAnsi" w:cstheme="minorHAnsi"/>
              </w:rPr>
              <w:t>.</w:t>
            </w:r>
            <w:r w:rsidR="00E375B7" w:rsidRPr="00E1727C">
              <w:rPr>
                <w:rFonts w:asciiTheme="minorHAnsi" w:hAnsiTheme="minorHAnsi" w:cstheme="minorHAnsi"/>
              </w:rPr>
              <w:t xml:space="preserve"> </w:t>
            </w:r>
            <w:r w:rsidR="00E375B7">
              <w:rPr>
                <w:rFonts w:asciiTheme="minorHAnsi" w:hAnsiTheme="minorHAnsi" w:cstheme="minorHAnsi"/>
              </w:rPr>
              <w:t xml:space="preserve">  </w:t>
            </w:r>
          </w:p>
        </w:tc>
      </w:tr>
    </w:tbl>
    <w:p w:rsidR="00E2151E" w:rsidRDefault="00E2151E">
      <w:r>
        <w:br w:type="page"/>
      </w:r>
    </w:p>
    <w:tbl>
      <w:tblPr>
        <w:tblStyle w:val="TableGrid"/>
        <w:tblW w:w="9464" w:type="dxa"/>
        <w:tblLook w:val="04A0" w:firstRow="1" w:lastRow="0" w:firstColumn="1" w:lastColumn="0" w:noHBand="0" w:noVBand="1"/>
        <w:tblDescription w:val="Object 2 – Supporting and sustaining an innovative NFP sector"/>
      </w:tblPr>
      <w:tblGrid>
        <w:gridCol w:w="495"/>
        <w:gridCol w:w="8969"/>
      </w:tblGrid>
      <w:tr w:rsidR="00E97B0F" w:rsidRPr="00E97B0F" w:rsidTr="00B72FB0">
        <w:trPr>
          <w:tblHeader/>
        </w:trPr>
        <w:tc>
          <w:tcPr>
            <w:tcW w:w="495" w:type="dxa"/>
          </w:tcPr>
          <w:p w:rsidR="00E97B0F" w:rsidRPr="00E97B0F" w:rsidRDefault="004C64FA" w:rsidP="00BD700F">
            <w:pPr>
              <w:spacing w:before="120" w:after="120"/>
              <w:rPr>
                <w:rFonts w:asciiTheme="minorHAnsi" w:hAnsiTheme="minorHAnsi" w:cstheme="minorHAnsi"/>
              </w:rPr>
            </w:pPr>
            <w:r>
              <w:rPr>
                <w:rFonts w:asciiTheme="minorHAnsi" w:hAnsiTheme="minorHAnsi" w:cstheme="minorHAnsi"/>
              </w:rPr>
              <w:t>1</w:t>
            </w:r>
            <w:r w:rsidR="00BD700F">
              <w:rPr>
                <w:rFonts w:asciiTheme="minorHAnsi" w:hAnsiTheme="minorHAnsi" w:cstheme="minorHAnsi"/>
              </w:rPr>
              <w:t>2</w:t>
            </w:r>
            <w:r w:rsidR="00DB1DD9">
              <w:rPr>
                <w:rFonts w:asciiTheme="minorHAnsi" w:hAnsiTheme="minorHAnsi" w:cstheme="minorHAnsi"/>
              </w:rPr>
              <w:t>.</w:t>
            </w:r>
          </w:p>
        </w:tc>
        <w:tc>
          <w:tcPr>
            <w:tcW w:w="8969" w:type="dxa"/>
          </w:tcPr>
          <w:p w:rsidR="00E97B0F" w:rsidRPr="00DB3BBF" w:rsidRDefault="00DB3BBF" w:rsidP="00FE6325">
            <w:pPr>
              <w:spacing w:before="120" w:after="120"/>
              <w:rPr>
                <w:rFonts w:asciiTheme="minorHAnsi" w:hAnsiTheme="minorHAnsi" w:cstheme="minorHAnsi"/>
                <w:b/>
                <w:i/>
              </w:rPr>
            </w:pPr>
            <w:r w:rsidRPr="00DB3BBF">
              <w:rPr>
                <w:rFonts w:asciiTheme="minorHAnsi" w:hAnsiTheme="minorHAnsi" w:cstheme="minorHAnsi"/>
                <w:b/>
                <w:i/>
              </w:rPr>
              <w:t>Object 2 – Supporting and sustaining an innovative NFP sector</w:t>
            </w:r>
          </w:p>
          <w:p w:rsidR="00DB3BBF" w:rsidRDefault="00B36661" w:rsidP="00FE6325">
            <w:pPr>
              <w:spacing w:before="120" w:after="120"/>
              <w:rPr>
                <w:rFonts w:asciiTheme="minorHAnsi" w:hAnsiTheme="minorHAnsi" w:cstheme="minorHAnsi"/>
              </w:rPr>
            </w:pPr>
            <w:r>
              <w:rPr>
                <w:rFonts w:asciiTheme="minorHAnsi" w:hAnsiTheme="minorHAnsi" w:cstheme="minorHAnsi"/>
              </w:rPr>
              <w:t xml:space="preserve">Consider that </w:t>
            </w:r>
          </w:p>
          <w:p w:rsidR="0049466E" w:rsidRDefault="0049466E" w:rsidP="00EC5ED7">
            <w:pPr>
              <w:pStyle w:val="ListParagraph"/>
              <w:numPr>
                <w:ilvl w:val="0"/>
                <w:numId w:val="32"/>
              </w:numPr>
              <w:spacing w:before="120" w:after="120"/>
              <w:ind w:left="360"/>
              <w:contextualSpacing w:val="0"/>
              <w:rPr>
                <w:rFonts w:asciiTheme="minorHAnsi" w:hAnsiTheme="minorHAnsi" w:cstheme="minorHAnsi"/>
              </w:rPr>
            </w:pPr>
            <w:r>
              <w:rPr>
                <w:rFonts w:asciiTheme="minorHAnsi" w:hAnsiTheme="minorHAnsi" w:cstheme="minorHAnsi"/>
              </w:rPr>
              <w:t>a</w:t>
            </w:r>
            <w:r w:rsidRPr="0049466E">
              <w:rPr>
                <w:rFonts w:asciiTheme="minorHAnsi" w:hAnsiTheme="minorHAnsi" w:cstheme="minorHAnsi"/>
              </w:rPr>
              <w:t xml:space="preserve">vailable </w:t>
            </w:r>
            <w:r w:rsidR="002D4DCC">
              <w:rPr>
                <w:rFonts w:asciiTheme="minorHAnsi" w:hAnsiTheme="minorHAnsi" w:cstheme="minorHAnsi"/>
              </w:rPr>
              <w:t xml:space="preserve">evidence </w:t>
            </w:r>
            <w:r w:rsidRPr="0049466E">
              <w:rPr>
                <w:rFonts w:asciiTheme="minorHAnsi" w:hAnsiTheme="minorHAnsi" w:cstheme="minorHAnsi"/>
              </w:rPr>
              <w:t>on the state of innovation in the NFP sector reveals that the main driver for i</w:t>
            </w:r>
            <w:r w:rsidR="0057157E">
              <w:rPr>
                <w:rFonts w:asciiTheme="minorHAnsi" w:hAnsiTheme="minorHAnsi" w:cstheme="minorHAnsi"/>
              </w:rPr>
              <w:t xml:space="preserve">nnovation in NFP organisations is </w:t>
            </w:r>
            <w:r w:rsidRPr="0049466E">
              <w:rPr>
                <w:rFonts w:asciiTheme="minorHAnsi" w:hAnsiTheme="minorHAnsi" w:cstheme="minorHAnsi"/>
              </w:rPr>
              <w:t>its people</w:t>
            </w:r>
            <w:r w:rsidR="00ED1903">
              <w:rPr>
                <w:rFonts w:asciiTheme="minorHAnsi" w:hAnsiTheme="minorHAnsi" w:cstheme="minorHAnsi"/>
              </w:rPr>
              <w:t xml:space="preserve">.  </w:t>
            </w:r>
            <w:r w:rsidR="00EC5ED7" w:rsidRPr="00EC5ED7">
              <w:rPr>
                <w:rFonts w:asciiTheme="minorHAnsi" w:hAnsiTheme="minorHAnsi" w:cstheme="minorHAnsi"/>
              </w:rPr>
              <w:t>Their strategic thinking skills and capabilities, a strong focus on networking, delivering outcomes and impacts, and influencing and driving change have underpinned the success and growth of the sector to date.   The main barriers identified by NFPs to innovation in the sector include: a lack of funding, high implementation costs, Government regulation and compliance, a lack of necessary knowledge or skills, lack of a clear innovation strategy, lack of senior leadership or vision, and a risk adverse management or culture</w:t>
            </w:r>
          </w:p>
          <w:p w:rsidR="005B7ACC" w:rsidRDefault="0049466E" w:rsidP="005131E3">
            <w:pPr>
              <w:pStyle w:val="ListParagraph"/>
              <w:numPr>
                <w:ilvl w:val="0"/>
                <w:numId w:val="32"/>
              </w:numPr>
              <w:spacing w:before="120" w:after="120"/>
              <w:ind w:left="357" w:hanging="357"/>
              <w:contextualSpacing w:val="0"/>
              <w:rPr>
                <w:rFonts w:asciiTheme="minorHAnsi" w:hAnsiTheme="minorHAnsi" w:cstheme="minorHAnsi"/>
              </w:rPr>
            </w:pPr>
            <w:r>
              <w:rPr>
                <w:rFonts w:asciiTheme="minorHAnsi" w:hAnsiTheme="minorHAnsi" w:cstheme="minorHAnsi"/>
              </w:rPr>
              <w:t xml:space="preserve">while </w:t>
            </w:r>
            <w:r w:rsidR="005B7ACC" w:rsidRPr="00F31004">
              <w:rPr>
                <w:rFonts w:asciiTheme="minorHAnsi" w:hAnsiTheme="minorHAnsi" w:cstheme="minorHAnsi"/>
              </w:rPr>
              <w:t xml:space="preserve">innovation in the sector can best </w:t>
            </w:r>
            <w:r w:rsidR="00353A1B">
              <w:rPr>
                <w:rFonts w:asciiTheme="minorHAnsi" w:hAnsiTheme="minorHAnsi" w:cstheme="minorHAnsi"/>
              </w:rPr>
              <w:t xml:space="preserve">be </w:t>
            </w:r>
            <w:r w:rsidR="005B7ACC" w:rsidRPr="00F31004">
              <w:rPr>
                <w:rFonts w:asciiTheme="minorHAnsi" w:hAnsiTheme="minorHAnsi" w:cstheme="minorHAnsi"/>
              </w:rPr>
              <w:t xml:space="preserve">achieved by the sector itself, the ACNC’s </w:t>
            </w:r>
            <w:r w:rsidR="008B53B8">
              <w:rPr>
                <w:rFonts w:asciiTheme="minorHAnsi" w:hAnsiTheme="minorHAnsi" w:cstheme="minorHAnsi"/>
              </w:rPr>
              <w:t xml:space="preserve">primary </w:t>
            </w:r>
            <w:r w:rsidR="005B7ACC" w:rsidRPr="00F31004">
              <w:rPr>
                <w:rFonts w:asciiTheme="minorHAnsi" w:hAnsiTheme="minorHAnsi" w:cstheme="minorHAnsi"/>
              </w:rPr>
              <w:t>role should be to ensure its’ regulatory framework does not impose undue restrictions on the flexibility and independence of the sector to take risks to innovate</w:t>
            </w:r>
            <w:r w:rsidR="00FF7592">
              <w:rPr>
                <w:rFonts w:asciiTheme="minorHAnsi" w:hAnsiTheme="minorHAnsi" w:cstheme="minorHAnsi"/>
              </w:rPr>
              <w:t>, and</w:t>
            </w:r>
          </w:p>
          <w:p w:rsidR="008B53B8" w:rsidRPr="00E443D8" w:rsidRDefault="005B7ACC" w:rsidP="006B343B">
            <w:pPr>
              <w:pStyle w:val="ListParagraph"/>
              <w:numPr>
                <w:ilvl w:val="0"/>
                <w:numId w:val="32"/>
              </w:numPr>
              <w:spacing w:before="120" w:after="120"/>
              <w:ind w:left="360"/>
              <w:contextualSpacing w:val="0"/>
              <w:rPr>
                <w:rFonts w:asciiTheme="minorHAnsi" w:hAnsiTheme="minorHAnsi" w:cstheme="minorHAnsi"/>
              </w:rPr>
            </w:pPr>
            <w:r w:rsidRPr="00E443D8">
              <w:rPr>
                <w:rFonts w:asciiTheme="minorHAnsi" w:hAnsiTheme="minorHAnsi" w:cstheme="minorHAnsi"/>
              </w:rPr>
              <w:t>support</w:t>
            </w:r>
            <w:r w:rsidR="008B53B8" w:rsidRPr="00E443D8">
              <w:rPr>
                <w:rFonts w:asciiTheme="minorHAnsi" w:hAnsiTheme="minorHAnsi" w:cstheme="minorHAnsi"/>
              </w:rPr>
              <w:t>ing</w:t>
            </w:r>
            <w:r w:rsidRPr="00E443D8">
              <w:rPr>
                <w:rFonts w:asciiTheme="minorHAnsi" w:hAnsiTheme="minorHAnsi" w:cstheme="minorHAnsi"/>
              </w:rPr>
              <w:t xml:space="preserve"> and sustaining an innovative Australian NFP sector </w:t>
            </w:r>
            <w:r w:rsidR="008B53B8" w:rsidRPr="00E443D8">
              <w:rPr>
                <w:rFonts w:asciiTheme="minorHAnsi" w:hAnsiTheme="minorHAnsi" w:cstheme="minorHAnsi"/>
              </w:rPr>
              <w:t xml:space="preserve">should </w:t>
            </w:r>
            <w:r w:rsidRPr="00E443D8">
              <w:rPr>
                <w:rFonts w:asciiTheme="minorHAnsi" w:hAnsiTheme="minorHAnsi" w:cstheme="minorHAnsi"/>
              </w:rPr>
              <w:t xml:space="preserve">be a high priority </w:t>
            </w:r>
            <w:r w:rsidR="006B343B" w:rsidRPr="006B343B">
              <w:rPr>
                <w:rFonts w:asciiTheme="minorHAnsi" w:hAnsiTheme="minorHAnsi" w:cstheme="minorHAnsi"/>
              </w:rPr>
              <w:t>but the ACNC should consider itself a facilitator, and encourage the sector itself to step up to drive sustainability and innovation</w:t>
            </w:r>
            <w:r w:rsidR="006B343B">
              <w:rPr>
                <w:rFonts w:asciiTheme="minorHAnsi" w:hAnsiTheme="minorHAnsi" w:cstheme="minorHAnsi"/>
              </w:rPr>
              <w:t xml:space="preserve"> b</w:t>
            </w:r>
            <w:r w:rsidR="008B53B8" w:rsidRPr="00E443D8">
              <w:rPr>
                <w:rFonts w:asciiTheme="minorHAnsi" w:hAnsiTheme="minorHAnsi" w:cstheme="minorHAnsi"/>
              </w:rPr>
              <w:t>y:</w:t>
            </w:r>
          </w:p>
          <w:p w:rsidR="005B7ACC" w:rsidRDefault="00371DD8" w:rsidP="00371DD8">
            <w:pPr>
              <w:spacing w:before="120" w:after="120"/>
              <w:ind w:left="357"/>
              <w:rPr>
                <w:rFonts w:asciiTheme="minorHAnsi" w:hAnsiTheme="minorHAnsi" w:cstheme="minorHAnsi"/>
              </w:rPr>
            </w:pPr>
            <w:r>
              <w:rPr>
                <w:rFonts w:asciiTheme="minorHAnsi" w:hAnsiTheme="minorHAnsi" w:cstheme="minorHAnsi"/>
              </w:rPr>
              <w:t>(i) continu</w:t>
            </w:r>
            <w:r w:rsidR="00776156">
              <w:rPr>
                <w:rFonts w:asciiTheme="minorHAnsi" w:hAnsiTheme="minorHAnsi" w:cstheme="minorHAnsi"/>
              </w:rPr>
              <w:t>ing</w:t>
            </w:r>
            <w:r>
              <w:rPr>
                <w:rFonts w:asciiTheme="minorHAnsi" w:hAnsiTheme="minorHAnsi" w:cstheme="minorHAnsi"/>
              </w:rPr>
              <w:t xml:space="preserve"> to </w:t>
            </w:r>
            <w:r w:rsidR="00E443D8" w:rsidRPr="00E443D8">
              <w:rPr>
                <w:rFonts w:asciiTheme="minorHAnsi" w:hAnsiTheme="minorHAnsi" w:cstheme="minorHAnsi"/>
              </w:rPr>
              <w:t>build the evidence base</w:t>
            </w:r>
            <w:r w:rsidR="00ED3D05">
              <w:rPr>
                <w:rFonts w:asciiTheme="minorHAnsi" w:hAnsiTheme="minorHAnsi" w:cstheme="minorHAnsi"/>
              </w:rPr>
              <w:t xml:space="preserve"> for the sector</w:t>
            </w:r>
            <w:r w:rsidR="00E443D8">
              <w:rPr>
                <w:rFonts w:asciiTheme="minorHAnsi" w:hAnsiTheme="minorHAnsi" w:cstheme="minorHAnsi"/>
              </w:rPr>
              <w:t xml:space="preserve">, drawing on the richness of its data on charities and further </w:t>
            </w:r>
            <w:r w:rsidR="00E443D8" w:rsidRPr="00E443D8">
              <w:rPr>
                <w:rFonts w:asciiTheme="minorHAnsi" w:hAnsiTheme="minorHAnsi" w:cstheme="minorHAnsi"/>
              </w:rPr>
              <w:t xml:space="preserve">developing its data </w:t>
            </w:r>
            <w:r>
              <w:rPr>
                <w:rFonts w:asciiTheme="minorHAnsi" w:hAnsiTheme="minorHAnsi" w:cstheme="minorHAnsi"/>
              </w:rPr>
              <w:t xml:space="preserve">driven </w:t>
            </w:r>
            <w:r w:rsidR="00E443D8" w:rsidRPr="00E443D8">
              <w:rPr>
                <w:rFonts w:asciiTheme="minorHAnsi" w:hAnsiTheme="minorHAnsi" w:cstheme="minorHAnsi"/>
              </w:rPr>
              <w:t xml:space="preserve">analysis </w:t>
            </w:r>
            <w:r>
              <w:rPr>
                <w:rFonts w:asciiTheme="minorHAnsi" w:hAnsiTheme="minorHAnsi" w:cstheme="minorHAnsi"/>
              </w:rPr>
              <w:t>and analytics to inform</w:t>
            </w:r>
            <w:r w:rsidR="007A1A38">
              <w:rPr>
                <w:rFonts w:asciiTheme="minorHAnsi" w:hAnsiTheme="minorHAnsi" w:cstheme="minorHAnsi"/>
              </w:rPr>
              <w:t>, educate</w:t>
            </w:r>
            <w:r>
              <w:rPr>
                <w:rFonts w:asciiTheme="minorHAnsi" w:hAnsiTheme="minorHAnsi" w:cstheme="minorHAnsi"/>
              </w:rPr>
              <w:t xml:space="preserve"> and advise the sector, and</w:t>
            </w:r>
          </w:p>
          <w:p w:rsidR="00DB3BBF" w:rsidRPr="00E97B0F" w:rsidRDefault="00371DD8" w:rsidP="00776156">
            <w:pPr>
              <w:spacing w:before="120" w:after="120"/>
              <w:ind w:left="357"/>
              <w:rPr>
                <w:rFonts w:asciiTheme="minorHAnsi" w:hAnsiTheme="minorHAnsi" w:cstheme="minorHAnsi"/>
              </w:rPr>
            </w:pPr>
            <w:r>
              <w:rPr>
                <w:rFonts w:asciiTheme="minorHAnsi" w:hAnsiTheme="minorHAnsi" w:cstheme="minorHAnsi"/>
              </w:rPr>
              <w:t xml:space="preserve">(ii) </w:t>
            </w:r>
            <w:r w:rsidR="00ED3D05" w:rsidRPr="00ED3D05">
              <w:rPr>
                <w:rFonts w:asciiTheme="minorHAnsi" w:hAnsiTheme="minorHAnsi" w:cstheme="minorHAnsi"/>
              </w:rPr>
              <w:t>look</w:t>
            </w:r>
            <w:r w:rsidR="00776156">
              <w:rPr>
                <w:rFonts w:asciiTheme="minorHAnsi" w:hAnsiTheme="minorHAnsi" w:cstheme="minorHAnsi"/>
              </w:rPr>
              <w:t>ing</w:t>
            </w:r>
            <w:r w:rsidR="00ED3D05" w:rsidRPr="00ED3D05">
              <w:rPr>
                <w:rFonts w:asciiTheme="minorHAnsi" w:hAnsiTheme="minorHAnsi" w:cstheme="minorHAnsi"/>
              </w:rPr>
              <w:t xml:space="preserve"> to leverage its unique position as the national regulator by entering into strategic alliances with sector peak bodies and experts to promote sector innovation through showcasing research on innovation and best practice.</w:t>
            </w:r>
            <w:r w:rsidR="005B7ACC">
              <w:rPr>
                <w:rFonts w:asciiTheme="minorHAnsi" w:hAnsiTheme="minorHAnsi" w:cstheme="minorHAnsi"/>
              </w:rPr>
              <w:t xml:space="preserve"> </w:t>
            </w:r>
            <w:r w:rsidR="008B53B8">
              <w:rPr>
                <w:rFonts w:asciiTheme="minorHAnsi" w:hAnsiTheme="minorHAnsi" w:cstheme="minorHAnsi"/>
              </w:rPr>
              <w:t xml:space="preserve">  </w:t>
            </w:r>
          </w:p>
        </w:tc>
      </w:tr>
      <w:tr w:rsidR="004C64FA" w:rsidRPr="00E97B0F" w:rsidTr="00C53622">
        <w:tc>
          <w:tcPr>
            <w:tcW w:w="495" w:type="dxa"/>
          </w:tcPr>
          <w:p w:rsidR="004C64FA" w:rsidRPr="00E97B0F" w:rsidRDefault="004C64FA" w:rsidP="00BD700F">
            <w:pPr>
              <w:spacing w:before="120" w:after="120"/>
              <w:rPr>
                <w:rFonts w:asciiTheme="minorHAnsi" w:hAnsiTheme="minorHAnsi" w:cstheme="minorHAnsi"/>
              </w:rPr>
            </w:pPr>
            <w:r>
              <w:rPr>
                <w:rFonts w:asciiTheme="minorHAnsi" w:hAnsiTheme="minorHAnsi" w:cstheme="minorHAnsi"/>
              </w:rPr>
              <w:t>1</w:t>
            </w:r>
            <w:r w:rsidR="00BD700F">
              <w:rPr>
                <w:rFonts w:asciiTheme="minorHAnsi" w:hAnsiTheme="minorHAnsi" w:cstheme="minorHAnsi"/>
              </w:rPr>
              <w:t>3</w:t>
            </w:r>
            <w:r>
              <w:rPr>
                <w:rFonts w:asciiTheme="minorHAnsi" w:hAnsiTheme="minorHAnsi" w:cstheme="minorHAnsi"/>
              </w:rPr>
              <w:t>.</w:t>
            </w:r>
          </w:p>
        </w:tc>
        <w:tc>
          <w:tcPr>
            <w:tcW w:w="8969" w:type="dxa"/>
          </w:tcPr>
          <w:p w:rsidR="004C64FA" w:rsidRPr="00652926" w:rsidRDefault="004C64FA" w:rsidP="00FD0FDC">
            <w:pPr>
              <w:spacing w:before="120" w:after="120"/>
              <w:rPr>
                <w:rFonts w:asciiTheme="minorHAnsi" w:hAnsiTheme="minorHAnsi" w:cstheme="minorHAnsi"/>
                <w:b/>
                <w:i/>
              </w:rPr>
            </w:pPr>
            <w:r w:rsidRPr="00652926">
              <w:rPr>
                <w:rFonts w:asciiTheme="minorHAnsi" w:hAnsiTheme="minorHAnsi" w:cstheme="minorHAnsi"/>
                <w:b/>
                <w:i/>
              </w:rPr>
              <w:t xml:space="preserve">Object 2 – </w:t>
            </w:r>
            <w:r w:rsidR="00AF4AC9">
              <w:rPr>
                <w:rFonts w:asciiTheme="minorHAnsi" w:hAnsiTheme="minorHAnsi" w:cstheme="minorHAnsi"/>
                <w:b/>
                <w:i/>
              </w:rPr>
              <w:t>Reviewing the relevance of Object 2 to t</w:t>
            </w:r>
            <w:r w:rsidRPr="00652926">
              <w:rPr>
                <w:rFonts w:asciiTheme="minorHAnsi" w:hAnsiTheme="minorHAnsi" w:cstheme="minorHAnsi"/>
                <w:b/>
                <w:i/>
              </w:rPr>
              <w:t>he role of the ACNC</w:t>
            </w:r>
          </w:p>
          <w:p w:rsidR="004C64FA" w:rsidRPr="00E97B0F" w:rsidRDefault="0049466E" w:rsidP="0049466E">
            <w:pPr>
              <w:spacing w:before="120" w:after="120"/>
              <w:rPr>
                <w:rFonts w:asciiTheme="minorHAnsi" w:hAnsiTheme="minorHAnsi" w:cstheme="minorHAnsi"/>
              </w:rPr>
            </w:pPr>
            <w:r>
              <w:rPr>
                <w:rFonts w:asciiTheme="minorHAnsi" w:hAnsiTheme="minorHAnsi" w:cstheme="minorHAnsi"/>
              </w:rPr>
              <w:t>Consider r</w:t>
            </w:r>
            <w:r w:rsidR="004C64FA">
              <w:rPr>
                <w:rFonts w:asciiTheme="minorHAnsi" w:hAnsiTheme="minorHAnsi" w:cstheme="minorHAnsi"/>
              </w:rPr>
              <w:t>eview</w:t>
            </w:r>
            <w:r>
              <w:rPr>
                <w:rFonts w:asciiTheme="minorHAnsi" w:hAnsiTheme="minorHAnsi" w:cstheme="minorHAnsi"/>
              </w:rPr>
              <w:t>ing</w:t>
            </w:r>
            <w:r w:rsidR="004C64FA">
              <w:rPr>
                <w:rFonts w:asciiTheme="minorHAnsi" w:hAnsiTheme="minorHAnsi" w:cstheme="minorHAnsi"/>
              </w:rPr>
              <w:t xml:space="preserve"> the </w:t>
            </w:r>
            <w:r w:rsidR="004C64FA" w:rsidRPr="00E97B0F">
              <w:rPr>
                <w:rFonts w:asciiTheme="minorHAnsi" w:hAnsiTheme="minorHAnsi" w:cstheme="minorHAnsi"/>
              </w:rPr>
              <w:t>ongoing relevance of Object 2 in its current form</w:t>
            </w:r>
            <w:r w:rsidR="004C64FA">
              <w:rPr>
                <w:rFonts w:asciiTheme="minorHAnsi" w:hAnsiTheme="minorHAnsi" w:cstheme="minorHAnsi"/>
              </w:rPr>
              <w:t xml:space="preserve">, and </w:t>
            </w:r>
            <w:r w:rsidR="004C64FA" w:rsidRPr="00B066A6">
              <w:rPr>
                <w:rFonts w:asciiTheme="minorHAnsi" w:hAnsiTheme="minorHAnsi" w:cstheme="minorHAnsi"/>
              </w:rPr>
              <w:t xml:space="preserve">the role </w:t>
            </w:r>
            <w:r w:rsidR="004C64FA">
              <w:rPr>
                <w:rFonts w:asciiTheme="minorHAnsi" w:hAnsiTheme="minorHAnsi" w:cstheme="minorHAnsi"/>
              </w:rPr>
              <w:t xml:space="preserve">and the resourcing </w:t>
            </w:r>
            <w:r w:rsidR="004C64FA" w:rsidRPr="00B066A6">
              <w:rPr>
                <w:rFonts w:asciiTheme="minorHAnsi" w:hAnsiTheme="minorHAnsi" w:cstheme="minorHAnsi"/>
              </w:rPr>
              <w:t>of the ACNC</w:t>
            </w:r>
            <w:r w:rsidR="004C64FA">
              <w:rPr>
                <w:rFonts w:asciiTheme="minorHAnsi" w:hAnsiTheme="minorHAnsi" w:cstheme="minorHAnsi"/>
              </w:rPr>
              <w:t xml:space="preserve"> to achieve this Object, </w:t>
            </w:r>
            <w:r w:rsidR="004C64FA" w:rsidRPr="00B066A6">
              <w:rPr>
                <w:rFonts w:asciiTheme="minorHAnsi" w:hAnsiTheme="minorHAnsi" w:cstheme="minorHAnsi"/>
              </w:rPr>
              <w:t xml:space="preserve">including </w:t>
            </w:r>
            <w:r w:rsidR="004C64FA">
              <w:rPr>
                <w:rFonts w:asciiTheme="minorHAnsi" w:hAnsiTheme="minorHAnsi" w:cstheme="minorHAnsi"/>
              </w:rPr>
              <w:t xml:space="preserve">amendments to the Act as required.  </w:t>
            </w:r>
            <w:r w:rsidR="004C64FA" w:rsidRPr="00E97B0F">
              <w:rPr>
                <w:rFonts w:asciiTheme="minorHAnsi" w:hAnsiTheme="minorHAnsi" w:cstheme="minorHAnsi"/>
              </w:rPr>
              <w:t xml:space="preserve"> </w:t>
            </w:r>
          </w:p>
        </w:tc>
      </w:tr>
      <w:tr w:rsidR="00694F87" w:rsidRPr="00E97B0F" w:rsidTr="00C53622">
        <w:tc>
          <w:tcPr>
            <w:tcW w:w="495" w:type="dxa"/>
          </w:tcPr>
          <w:p w:rsidR="00694F87" w:rsidRPr="00E97B0F" w:rsidRDefault="00DB1DD9" w:rsidP="00BD700F">
            <w:pPr>
              <w:spacing w:before="120" w:after="120"/>
              <w:rPr>
                <w:rFonts w:asciiTheme="minorHAnsi" w:hAnsiTheme="minorHAnsi" w:cstheme="minorHAnsi"/>
              </w:rPr>
            </w:pPr>
            <w:r>
              <w:rPr>
                <w:rFonts w:asciiTheme="minorHAnsi" w:hAnsiTheme="minorHAnsi" w:cstheme="minorHAnsi"/>
              </w:rPr>
              <w:t>1</w:t>
            </w:r>
            <w:r w:rsidR="00BD700F">
              <w:rPr>
                <w:rFonts w:asciiTheme="minorHAnsi" w:hAnsiTheme="minorHAnsi" w:cstheme="minorHAnsi"/>
              </w:rPr>
              <w:t>4</w:t>
            </w:r>
            <w:r>
              <w:rPr>
                <w:rFonts w:asciiTheme="minorHAnsi" w:hAnsiTheme="minorHAnsi" w:cstheme="minorHAnsi"/>
              </w:rPr>
              <w:t>.</w:t>
            </w:r>
          </w:p>
        </w:tc>
        <w:tc>
          <w:tcPr>
            <w:tcW w:w="8969" w:type="dxa"/>
          </w:tcPr>
          <w:p w:rsidR="00694F87" w:rsidRDefault="0047376A" w:rsidP="00FE6325">
            <w:pPr>
              <w:spacing w:before="120" w:after="120"/>
              <w:rPr>
                <w:rFonts w:asciiTheme="minorHAnsi" w:hAnsiTheme="minorHAnsi" w:cstheme="minorHAnsi"/>
                <w:b/>
                <w:i/>
              </w:rPr>
            </w:pPr>
            <w:r w:rsidRPr="0047376A">
              <w:rPr>
                <w:rFonts w:asciiTheme="minorHAnsi" w:hAnsiTheme="minorHAnsi" w:cstheme="minorHAnsi"/>
                <w:b/>
                <w:i/>
              </w:rPr>
              <w:t>Object 3 - Australian Consumer Law (ACL) Review recommendations</w:t>
            </w:r>
          </w:p>
          <w:p w:rsidR="00887799" w:rsidRDefault="00887799" w:rsidP="00887799">
            <w:pPr>
              <w:spacing w:before="120" w:after="120"/>
              <w:rPr>
                <w:rFonts w:asciiTheme="minorHAnsi" w:hAnsiTheme="minorHAnsi" w:cstheme="minorHAnsi"/>
              </w:rPr>
            </w:pPr>
            <w:r>
              <w:rPr>
                <w:rFonts w:asciiTheme="minorHAnsi" w:hAnsiTheme="minorHAnsi" w:cstheme="minorHAnsi"/>
              </w:rPr>
              <w:t>Consider that the Partnership:</w:t>
            </w:r>
          </w:p>
          <w:p w:rsidR="00887799" w:rsidRPr="00887799" w:rsidRDefault="00887799" w:rsidP="005131E3">
            <w:pPr>
              <w:pStyle w:val="ListParagraph"/>
              <w:numPr>
                <w:ilvl w:val="0"/>
                <w:numId w:val="34"/>
              </w:numPr>
              <w:spacing w:before="120" w:after="120"/>
              <w:ind w:left="357" w:hanging="357"/>
              <w:contextualSpacing w:val="0"/>
              <w:rPr>
                <w:rFonts w:asciiTheme="minorHAnsi" w:hAnsiTheme="minorHAnsi" w:cstheme="minorHAnsi"/>
              </w:rPr>
            </w:pPr>
            <w:r w:rsidRPr="00887799">
              <w:rPr>
                <w:rFonts w:asciiTheme="minorHAnsi" w:hAnsiTheme="minorHAnsi" w:cstheme="minorHAnsi"/>
              </w:rPr>
              <w:t xml:space="preserve">has received feedback from many stakeholders that harmonisation of fundraising regulations is a critical issue for the NFP and charity sector, unlocking potential to focus on outcomes and impact, improving efficiency and reducing regulatory burden and red tape  </w:t>
            </w:r>
          </w:p>
          <w:p w:rsidR="00887799" w:rsidRPr="00887799" w:rsidRDefault="00887799" w:rsidP="005131E3">
            <w:pPr>
              <w:pStyle w:val="ListParagraph"/>
              <w:numPr>
                <w:ilvl w:val="0"/>
                <w:numId w:val="34"/>
              </w:numPr>
              <w:spacing w:before="120" w:after="120"/>
              <w:ind w:left="357" w:hanging="357"/>
              <w:contextualSpacing w:val="0"/>
              <w:rPr>
                <w:rFonts w:asciiTheme="minorHAnsi" w:hAnsiTheme="minorHAnsi" w:cstheme="minorHAnsi"/>
              </w:rPr>
            </w:pPr>
            <w:r w:rsidRPr="00887799">
              <w:rPr>
                <w:rFonts w:asciiTheme="minorHAnsi" w:hAnsiTheme="minorHAnsi" w:cstheme="minorHAnsi"/>
              </w:rPr>
              <w:t>in its’ submission of March 2017 to the ACL Review</w:t>
            </w:r>
            <w:r w:rsidR="00892E24">
              <w:rPr>
                <w:rFonts w:asciiTheme="minorHAnsi" w:hAnsiTheme="minorHAnsi" w:cstheme="minorHAnsi"/>
              </w:rPr>
              <w:t>,</w:t>
            </w:r>
            <w:r w:rsidRPr="00887799">
              <w:rPr>
                <w:rFonts w:asciiTheme="minorHAnsi" w:hAnsiTheme="minorHAnsi" w:cstheme="minorHAnsi"/>
              </w:rPr>
              <w:t xml:space="preserve"> </w:t>
            </w:r>
            <w:r w:rsidR="00776156">
              <w:rPr>
                <w:rFonts w:asciiTheme="minorHAnsi" w:hAnsiTheme="minorHAnsi" w:cstheme="minorHAnsi"/>
              </w:rPr>
              <w:t xml:space="preserve">the Partnership </w:t>
            </w:r>
            <w:r w:rsidRPr="00887799">
              <w:rPr>
                <w:rFonts w:asciiTheme="minorHAnsi" w:hAnsiTheme="minorHAnsi" w:cstheme="minorHAnsi"/>
              </w:rPr>
              <w:t>noted its support for these two key recommendations:</w:t>
            </w:r>
          </w:p>
          <w:p w:rsidR="00887799" w:rsidRPr="00887799" w:rsidRDefault="00887799" w:rsidP="004F0D1F">
            <w:pPr>
              <w:spacing w:before="120" w:after="120"/>
              <w:ind w:left="357"/>
              <w:rPr>
                <w:rFonts w:asciiTheme="minorHAnsi" w:hAnsiTheme="minorHAnsi" w:cstheme="minorHAnsi"/>
              </w:rPr>
            </w:pPr>
            <w:r>
              <w:rPr>
                <w:rFonts w:asciiTheme="minorHAnsi" w:hAnsiTheme="minorHAnsi" w:cstheme="minorHAnsi"/>
              </w:rPr>
              <w:t xml:space="preserve">(i) </w:t>
            </w:r>
            <w:r w:rsidRPr="00887799">
              <w:rPr>
                <w:rFonts w:asciiTheme="minorHAnsi" w:hAnsiTheme="minorHAnsi" w:cstheme="minorHAnsi"/>
              </w:rPr>
              <w:t xml:space="preserve">Recommendations 1 - 3: Amend the definition of “trade and commerce” to clarify whether not-for-profit activities fall within or outside the scope of this definition, specifically giving clarity to not-for-profits about what activities might qualify as trade and commerce.  There are a number of grey areas that cause some confusion for the sector.  The recommendations include education and also a transition period into the final regime for </w:t>
            </w:r>
            <w:r w:rsidR="00776156">
              <w:rPr>
                <w:rFonts w:asciiTheme="minorHAnsi" w:hAnsiTheme="minorHAnsi" w:cstheme="minorHAnsi"/>
              </w:rPr>
              <w:t>NFP</w:t>
            </w:r>
            <w:r w:rsidRPr="00887799">
              <w:rPr>
                <w:rFonts w:asciiTheme="minorHAnsi" w:hAnsiTheme="minorHAnsi" w:cstheme="minorHAnsi"/>
              </w:rPr>
              <w:t xml:space="preserve">, which the Partnership believes would be helpful for the </w:t>
            </w:r>
            <w:r w:rsidR="00776156">
              <w:rPr>
                <w:rFonts w:asciiTheme="minorHAnsi" w:hAnsiTheme="minorHAnsi" w:cstheme="minorHAnsi"/>
              </w:rPr>
              <w:t>NFP</w:t>
            </w:r>
            <w:r w:rsidRPr="00887799">
              <w:rPr>
                <w:rFonts w:asciiTheme="minorHAnsi" w:hAnsiTheme="minorHAnsi" w:cstheme="minorHAnsi"/>
              </w:rPr>
              <w:t xml:space="preserve"> sector, and </w:t>
            </w:r>
          </w:p>
          <w:p w:rsidR="00887799" w:rsidRPr="00887799" w:rsidRDefault="00887799" w:rsidP="004F0D1F">
            <w:pPr>
              <w:spacing w:before="120" w:after="120"/>
              <w:ind w:left="357"/>
              <w:rPr>
                <w:rFonts w:asciiTheme="minorHAnsi" w:hAnsiTheme="minorHAnsi" w:cstheme="minorHAnsi"/>
              </w:rPr>
            </w:pPr>
            <w:r>
              <w:rPr>
                <w:rFonts w:asciiTheme="minorHAnsi" w:hAnsiTheme="minorHAnsi" w:cstheme="minorHAnsi"/>
              </w:rPr>
              <w:t xml:space="preserve">(ii) </w:t>
            </w:r>
            <w:r w:rsidRPr="00887799">
              <w:rPr>
                <w:rFonts w:asciiTheme="minorHAnsi" w:hAnsiTheme="minorHAnsi" w:cstheme="minorHAnsi"/>
              </w:rPr>
              <w:t xml:space="preserve">Recommendation 4:  The Partnership endorses the critical reform of the fundraising licence regime.  In </w:t>
            </w:r>
            <w:r w:rsidR="00776156">
              <w:rPr>
                <w:rFonts w:asciiTheme="minorHAnsi" w:hAnsiTheme="minorHAnsi" w:cstheme="minorHAnsi"/>
              </w:rPr>
              <w:t>its</w:t>
            </w:r>
            <w:r w:rsidRPr="00887799">
              <w:rPr>
                <w:rFonts w:asciiTheme="minorHAnsi" w:hAnsiTheme="minorHAnsi" w:cstheme="minorHAnsi"/>
              </w:rPr>
              <w:t xml:space="preserve"> discussions with the sector this has been one of the key reforms that has been raised with </w:t>
            </w:r>
            <w:r w:rsidR="00776156">
              <w:rPr>
                <w:rFonts w:asciiTheme="minorHAnsi" w:hAnsiTheme="minorHAnsi" w:cstheme="minorHAnsi"/>
              </w:rPr>
              <w:t xml:space="preserve">the Partnership </w:t>
            </w:r>
            <w:r w:rsidRPr="00887799">
              <w:rPr>
                <w:rFonts w:asciiTheme="minorHAnsi" w:hAnsiTheme="minorHAnsi" w:cstheme="minorHAnsi"/>
              </w:rPr>
              <w:t xml:space="preserve">on numerous occasions and in different forums.  The current, fragmented regulatory landscape is ineffective at regulating fundraising, and compliance with it is burdensome in the extreme. This is a </w:t>
            </w:r>
            <w:r w:rsidR="00116F64" w:rsidRPr="00887799">
              <w:rPr>
                <w:rFonts w:asciiTheme="minorHAnsi" w:hAnsiTheme="minorHAnsi" w:cstheme="minorHAnsi"/>
              </w:rPr>
              <w:t>well-identified</w:t>
            </w:r>
            <w:r w:rsidRPr="00887799">
              <w:rPr>
                <w:rFonts w:asciiTheme="minorHAnsi" w:hAnsiTheme="minorHAnsi" w:cstheme="minorHAnsi"/>
              </w:rPr>
              <w:t xml:space="preserve"> area of red tape that acts as a barrier to </w:t>
            </w:r>
            <w:r w:rsidR="00776156">
              <w:rPr>
                <w:rFonts w:asciiTheme="minorHAnsi" w:hAnsiTheme="minorHAnsi" w:cstheme="minorHAnsi"/>
              </w:rPr>
              <w:t>NFPs</w:t>
            </w:r>
            <w:r w:rsidRPr="00887799">
              <w:rPr>
                <w:rFonts w:asciiTheme="minorHAnsi" w:hAnsiTheme="minorHAnsi" w:cstheme="minorHAnsi"/>
              </w:rPr>
              <w:t xml:space="preserve"> getting their important work done.</w:t>
            </w:r>
          </w:p>
          <w:p w:rsidR="00887799" w:rsidRPr="00887799" w:rsidRDefault="00887799" w:rsidP="00887799">
            <w:pPr>
              <w:spacing w:before="120" w:after="120"/>
              <w:rPr>
                <w:rFonts w:asciiTheme="minorHAnsi" w:hAnsiTheme="minorHAnsi" w:cstheme="minorHAnsi"/>
              </w:rPr>
            </w:pPr>
            <w:r>
              <w:rPr>
                <w:rFonts w:asciiTheme="minorHAnsi" w:hAnsiTheme="minorHAnsi" w:cstheme="minorHAnsi"/>
              </w:rPr>
              <w:t>c)</w:t>
            </w:r>
            <w:r w:rsidR="00490CFD">
              <w:rPr>
                <w:rFonts w:asciiTheme="minorHAnsi" w:hAnsiTheme="minorHAnsi" w:cstheme="minorHAnsi"/>
              </w:rPr>
              <w:t xml:space="preserve"> </w:t>
            </w:r>
            <w:r w:rsidRPr="00887799">
              <w:rPr>
                <w:rFonts w:asciiTheme="minorHAnsi" w:hAnsiTheme="minorHAnsi" w:cstheme="minorHAnsi"/>
              </w:rPr>
              <w:t xml:space="preserve">noted in its submission of March 2017 to the ACL Review that: </w:t>
            </w:r>
          </w:p>
          <w:p w:rsidR="00887799" w:rsidRPr="00887799" w:rsidRDefault="004F0D1F" w:rsidP="004F0D1F">
            <w:pPr>
              <w:spacing w:before="120" w:after="120"/>
              <w:ind w:left="357"/>
              <w:rPr>
                <w:rFonts w:asciiTheme="minorHAnsi" w:hAnsiTheme="minorHAnsi" w:cstheme="minorHAnsi"/>
              </w:rPr>
            </w:pPr>
            <w:r>
              <w:rPr>
                <w:rFonts w:asciiTheme="minorHAnsi" w:hAnsiTheme="minorHAnsi" w:cstheme="minorHAnsi"/>
              </w:rPr>
              <w:t xml:space="preserve">(i) </w:t>
            </w:r>
            <w:r w:rsidR="00887799">
              <w:rPr>
                <w:rFonts w:asciiTheme="minorHAnsi" w:hAnsiTheme="minorHAnsi" w:cstheme="minorHAnsi"/>
              </w:rPr>
              <w:t>f</w:t>
            </w:r>
            <w:r w:rsidR="00887799" w:rsidRPr="00887799">
              <w:rPr>
                <w:rFonts w:asciiTheme="minorHAnsi" w:hAnsiTheme="minorHAnsi" w:cstheme="minorHAnsi"/>
              </w:rPr>
              <w:t>undraising legislation differs significantly between jurisdictions, adding to costs incurred by the NFP sector. Harmonisation of fundraising legislation through the adoption of a model act should be an early priority for governments</w:t>
            </w:r>
            <w:r w:rsidR="00887799">
              <w:rPr>
                <w:rFonts w:asciiTheme="minorHAnsi" w:hAnsiTheme="minorHAnsi" w:cstheme="minorHAnsi"/>
              </w:rPr>
              <w:t>, and</w:t>
            </w:r>
          </w:p>
          <w:p w:rsidR="0047376A" w:rsidRPr="0047376A" w:rsidRDefault="004F0D1F" w:rsidP="00776156">
            <w:pPr>
              <w:spacing w:before="120" w:after="120"/>
              <w:ind w:left="357"/>
              <w:rPr>
                <w:rFonts w:asciiTheme="minorHAnsi" w:hAnsiTheme="minorHAnsi" w:cstheme="minorHAnsi"/>
                <w:b/>
                <w:i/>
              </w:rPr>
            </w:pPr>
            <w:r>
              <w:rPr>
                <w:rFonts w:asciiTheme="minorHAnsi" w:hAnsiTheme="minorHAnsi" w:cstheme="minorHAnsi"/>
              </w:rPr>
              <w:t xml:space="preserve">(ii) </w:t>
            </w:r>
            <w:r w:rsidR="00887799" w:rsidRPr="00887799">
              <w:rPr>
                <w:rFonts w:asciiTheme="minorHAnsi" w:hAnsiTheme="minorHAnsi" w:cstheme="minorHAnsi"/>
              </w:rPr>
              <w:t xml:space="preserve">it specifically agrees with the inclusion of fundraising to fall within the ACL provisions and for the state and territory fundraising laws to be repealed.  The ACNC could then carry out the role of regulator of fundraising activities e.g. door knocking and telemarketing as </w:t>
            </w:r>
            <w:r w:rsidR="00776156">
              <w:rPr>
                <w:rFonts w:asciiTheme="minorHAnsi" w:hAnsiTheme="minorHAnsi" w:cstheme="minorHAnsi"/>
              </w:rPr>
              <w:t xml:space="preserve">the Partnership </w:t>
            </w:r>
            <w:r w:rsidR="00887799" w:rsidRPr="00887799">
              <w:rPr>
                <w:rFonts w:asciiTheme="minorHAnsi" w:hAnsiTheme="minorHAnsi" w:cstheme="minorHAnsi"/>
              </w:rPr>
              <w:t>see</w:t>
            </w:r>
            <w:r w:rsidR="00776156">
              <w:rPr>
                <w:rFonts w:asciiTheme="minorHAnsi" w:hAnsiTheme="minorHAnsi" w:cstheme="minorHAnsi"/>
              </w:rPr>
              <w:t xml:space="preserve">s the ACNC </w:t>
            </w:r>
            <w:r w:rsidR="00887799" w:rsidRPr="00887799">
              <w:rPr>
                <w:rFonts w:asciiTheme="minorHAnsi" w:hAnsiTheme="minorHAnsi" w:cstheme="minorHAnsi"/>
              </w:rPr>
              <w:t>s best placed to oversee this in conjunction with the Fundraising Institute of Australia</w:t>
            </w:r>
            <w:r w:rsidR="00887799" w:rsidRPr="00887799">
              <w:rPr>
                <w:rFonts w:asciiTheme="minorHAnsi" w:hAnsiTheme="minorHAnsi" w:cstheme="minorHAnsi"/>
                <w:b/>
                <w:i/>
              </w:rPr>
              <w:t xml:space="preserve">.  </w:t>
            </w:r>
          </w:p>
        </w:tc>
      </w:tr>
      <w:tr w:rsidR="002A34F4" w:rsidRPr="00E97B0F" w:rsidTr="00C53622">
        <w:tc>
          <w:tcPr>
            <w:tcW w:w="495" w:type="dxa"/>
          </w:tcPr>
          <w:p w:rsidR="002A34F4" w:rsidRDefault="00577EA9" w:rsidP="00BD700F">
            <w:pPr>
              <w:spacing w:before="120" w:after="120"/>
              <w:rPr>
                <w:rFonts w:asciiTheme="minorHAnsi" w:hAnsiTheme="minorHAnsi" w:cstheme="minorHAnsi"/>
              </w:rPr>
            </w:pPr>
            <w:r>
              <w:rPr>
                <w:rFonts w:asciiTheme="minorHAnsi" w:hAnsiTheme="minorHAnsi" w:cstheme="minorHAnsi"/>
              </w:rPr>
              <w:t>1</w:t>
            </w:r>
            <w:r w:rsidR="00BD700F">
              <w:rPr>
                <w:rFonts w:asciiTheme="minorHAnsi" w:hAnsiTheme="minorHAnsi" w:cstheme="minorHAnsi"/>
              </w:rPr>
              <w:t>5</w:t>
            </w:r>
            <w:r>
              <w:rPr>
                <w:rFonts w:asciiTheme="minorHAnsi" w:hAnsiTheme="minorHAnsi" w:cstheme="minorHAnsi"/>
              </w:rPr>
              <w:t>.</w:t>
            </w:r>
          </w:p>
        </w:tc>
        <w:tc>
          <w:tcPr>
            <w:tcW w:w="8969" w:type="dxa"/>
          </w:tcPr>
          <w:p w:rsidR="002A34F4" w:rsidRPr="002A34F4" w:rsidRDefault="002A34F4" w:rsidP="002A34F4">
            <w:pPr>
              <w:spacing w:before="120" w:after="120"/>
              <w:rPr>
                <w:rFonts w:asciiTheme="minorHAnsi" w:hAnsiTheme="minorHAnsi" w:cstheme="minorHAnsi"/>
                <w:b/>
                <w:i/>
              </w:rPr>
            </w:pPr>
            <w:r>
              <w:rPr>
                <w:rFonts w:asciiTheme="minorHAnsi" w:hAnsiTheme="minorHAnsi" w:cstheme="minorHAnsi"/>
                <w:b/>
                <w:i/>
              </w:rPr>
              <w:t xml:space="preserve">Object 3 - </w:t>
            </w:r>
            <w:r w:rsidRPr="002A34F4">
              <w:rPr>
                <w:rFonts w:asciiTheme="minorHAnsi" w:hAnsiTheme="minorHAnsi" w:cstheme="minorHAnsi"/>
                <w:b/>
                <w:i/>
              </w:rPr>
              <w:t>Commitment to advocate for a Common Definition of Charity</w:t>
            </w:r>
          </w:p>
          <w:p w:rsidR="002A34F4" w:rsidRPr="002A34F4" w:rsidRDefault="002A34F4" w:rsidP="002A34F4">
            <w:pPr>
              <w:spacing w:before="120" w:after="120"/>
              <w:rPr>
                <w:rFonts w:asciiTheme="minorHAnsi" w:hAnsiTheme="minorHAnsi" w:cstheme="minorHAnsi"/>
              </w:rPr>
            </w:pPr>
            <w:r w:rsidRPr="002A34F4">
              <w:rPr>
                <w:rFonts w:asciiTheme="minorHAnsi" w:hAnsiTheme="minorHAnsi" w:cstheme="minorHAnsi"/>
              </w:rPr>
              <w:t>Consider that leadership and support from the Commonwealth Government for a common definition of charity would assist the implementation of regulatory and reporting alignment and harmonisation initiatives.</w:t>
            </w:r>
          </w:p>
        </w:tc>
      </w:tr>
      <w:tr w:rsidR="00694F87" w:rsidRPr="00E97B0F" w:rsidTr="00C53622">
        <w:tc>
          <w:tcPr>
            <w:tcW w:w="495" w:type="dxa"/>
          </w:tcPr>
          <w:p w:rsidR="00694F87" w:rsidRPr="00E97B0F" w:rsidRDefault="00DB1DD9" w:rsidP="00BD700F">
            <w:pPr>
              <w:spacing w:before="120" w:after="120"/>
              <w:rPr>
                <w:rFonts w:asciiTheme="minorHAnsi" w:hAnsiTheme="minorHAnsi" w:cstheme="minorHAnsi"/>
              </w:rPr>
            </w:pPr>
            <w:r>
              <w:rPr>
                <w:rFonts w:asciiTheme="minorHAnsi" w:hAnsiTheme="minorHAnsi" w:cstheme="minorHAnsi"/>
              </w:rPr>
              <w:t>1</w:t>
            </w:r>
            <w:r w:rsidR="00BD700F">
              <w:rPr>
                <w:rFonts w:asciiTheme="minorHAnsi" w:hAnsiTheme="minorHAnsi" w:cstheme="minorHAnsi"/>
              </w:rPr>
              <w:t>6</w:t>
            </w:r>
            <w:r>
              <w:rPr>
                <w:rFonts w:asciiTheme="minorHAnsi" w:hAnsiTheme="minorHAnsi" w:cstheme="minorHAnsi"/>
              </w:rPr>
              <w:t>.</w:t>
            </w:r>
          </w:p>
        </w:tc>
        <w:tc>
          <w:tcPr>
            <w:tcW w:w="8969" w:type="dxa"/>
          </w:tcPr>
          <w:p w:rsidR="00694F87" w:rsidRDefault="00A97B40" w:rsidP="00FE6325">
            <w:pPr>
              <w:spacing w:before="120" w:after="120"/>
              <w:rPr>
                <w:rFonts w:asciiTheme="minorHAnsi" w:hAnsiTheme="minorHAnsi" w:cstheme="minorHAnsi"/>
                <w:b/>
                <w:i/>
              </w:rPr>
            </w:pPr>
            <w:r w:rsidRPr="006A563A">
              <w:rPr>
                <w:rFonts w:asciiTheme="minorHAnsi" w:hAnsiTheme="minorHAnsi" w:cstheme="minorHAnsi"/>
                <w:b/>
                <w:i/>
              </w:rPr>
              <w:t xml:space="preserve">Object 3 - </w:t>
            </w:r>
            <w:r w:rsidR="0028593D" w:rsidRPr="0028593D">
              <w:rPr>
                <w:rFonts w:asciiTheme="minorHAnsi" w:hAnsiTheme="minorHAnsi" w:cstheme="minorHAnsi"/>
                <w:b/>
                <w:i/>
              </w:rPr>
              <w:t>Commitment to align State and Commonwealth Governments Fundraising, Revenue and Incorporated Associations Reporting</w:t>
            </w:r>
          </w:p>
          <w:p w:rsidR="00E37C63" w:rsidRPr="006A563A" w:rsidRDefault="00501B5C" w:rsidP="003A2D24">
            <w:pPr>
              <w:spacing w:before="120" w:after="120"/>
              <w:rPr>
                <w:rFonts w:asciiTheme="minorHAnsi" w:hAnsiTheme="minorHAnsi" w:cstheme="minorHAnsi"/>
                <w:b/>
                <w:i/>
              </w:rPr>
            </w:pPr>
            <w:r>
              <w:rPr>
                <w:rFonts w:asciiTheme="minorHAnsi" w:hAnsiTheme="minorHAnsi" w:cstheme="minorHAnsi"/>
              </w:rPr>
              <w:t xml:space="preserve">Consider that </w:t>
            </w:r>
            <w:r w:rsidRPr="00501B5C">
              <w:rPr>
                <w:rFonts w:asciiTheme="minorHAnsi" w:hAnsiTheme="minorHAnsi" w:cstheme="minorHAnsi"/>
              </w:rPr>
              <w:t>in several jurisdictions efforts by ACNC to progress alignment in bilateral and multilateral meetings with government agencies have had limited success.  Public commitment by the Commonwealth Government would assist to give these initiatives greater priority and support on the part of states and territories.</w:t>
            </w:r>
          </w:p>
        </w:tc>
      </w:tr>
      <w:tr w:rsidR="00694F87" w:rsidRPr="00E97B0F" w:rsidTr="00C53622">
        <w:tc>
          <w:tcPr>
            <w:tcW w:w="495" w:type="dxa"/>
          </w:tcPr>
          <w:p w:rsidR="00694F87" w:rsidRPr="00E97B0F" w:rsidRDefault="00DB1DD9" w:rsidP="00BD700F">
            <w:pPr>
              <w:spacing w:before="120" w:after="120"/>
              <w:rPr>
                <w:rFonts w:asciiTheme="minorHAnsi" w:hAnsiTheme="minorHAnsi" w:cstheme="minorHAnsi"/>
              </w:rPr>
            </w:pPr>
            <w:r>
              <w:rPr>
                <w:rFonts w:asciiTheme="minorHAnsi" w:hAnsiTheme="minorHAnsi" w:cstheme="minorHAnsi"/>
              </w:rPr>
              <w:t>1</w:t>
            </w:r>
            <w:r w:rsidR="00BD700F">
              <w:rPr>
                <w:rFonts w:asciiTheme="minorHAnsi" w:hAnsiTheme="minorHAnsi" w:cstheme="minorHAnsi"/>
              </w:rPr>
              <w:t>7</w:t>
            </w:r>
            <w:r>
              <w:rPr>
                <w:rFonts w:asciiTheme="minorHAnsi" w:hAnsiTheme="minorHAnsi" w:cstheme="minorHAnsi"/>
              </w:rPr>
              <w:t>.</w:t>
            </w:r>
          </w:p>
        </w:tc>
        <w:tc>
          <w:tcPr>
            <w:tcW w:w="8969" w:type="dxa"/>
          </w:tcPr>
          <w:p w:rsidR="00694F87" w:rsidRDefault="0028593D" w:rsidP="00FE6325">
            <w:pPr>
              <w:spacing w:before="120" w:after="120"/>
              <w:rPr>
                <w:rFonts w:asciiTheme="minorHAnsi" w:hAnsiTheme="minorHAnsi" w:cstheme="minorHAnsi"/>
                <w:b/>
                <w:i/>
              </w:rPr>
            </w:pPr>
            <w:r w:rsidRPr="0028593D">
              <w:rPr>
                <w:rFonts w:asciiTheme="minorHAnsi" w:hAnsiTheme="minorHAnsi" w:cstheme="minorHAnsi"/>
                <w:b/>
                <w:i/>
              </w:rPr>
              <w:t xml:space="preserve">Object 3 - </w:t>
            </w:r>
            <w:r w:rsidR="00E37C63" w:rsidRPr="00E37C63">
              <w:rPr>
                <w:rFonts w:asciiTheme="minorHAnsi" w:hAnsiTheme="minorHAnsi" w:cstheme="minorHAnsi"/>
                <w:b/>
                <w:i/>
              </w:rPr>
              <w:t>Implementation of a national system of working with children and vulnerable people checks</w:t>
            </w:r>
          </w:p>
          <w:p w:rsidR="00EC0582" w:rsidRDefault="00EC0582" w:rsidP="00EC0582">
            <w:pPr>
              <w:spacing w:before="120" w:after="120"/>
              <w:rPr>
                <w:rFonts w:asciiTheme="minorHAnsi" w:hAnsiTheme="minorHAnsi" w:cstheme="minorHAnsi"/>
              </w:rPr>
            </w:pPr>
            <w:r>
              <w:rPr>
                <w:rFonts w:asciiTheme="minorHAnsi" w:hAnsiTheme="minorHAnsi" w:cstheme="minorHAnsi"/>
              </w:rPr>
              <w:t>Consider:</w:t>
            </w:r>
          </w:p>
          <w:p w:rsidR="00FF1C87" w:rsidRPr="00FF1C87" w:rsidRDefault="00EC0582" w:rsidP="005131E3">
            <w:pPr>
              <w:pStyle w:val="ListParagraph"/>
              <w:numPr>
                <w:ilvl w:val="0"/>
                <w:numId w:val="35"/>
              </w:numPr>
              <w:spacing w:before="120" w:after="120"/>
              <w:ind w:left="360"/>
              <w:contextualSpacing w:val="0"/>
              <w:rPr>
                <w:rFonts w:asciiTheme="minorHAnsi" w:hAnsiTheme="minorHAnsi" w:cstheme="minorHAnsi"/>
              </w:rPr>
            </w:pPr>
            <w:r w:rsidRPr="00EC0582">
              <w:rPr>
                <w:rFonts w:asciiTheme="minorHAnsi" w:hAnsiTheme="minorHAnsi" w:cstheme="minorHAnsi"/>
              </w:rPr>
              <w:t xml:space="preserve">the recommendations of the </w:t>
            </w:r>
            <w:r w:rsidRPr="00AF4AFA">
              <w:rPr>
                <w:rFonts w:asciiTheme="minorHAnsi" w:hAnsiTheme="minorHAnsi" w:cstheme="minorHAnsi"/>
                <w:i/>
              </w:rPr>
              <w:t>Final Report of the Royal Commission into Institutional Responses to Child Sexual Abuse</w:t>
            </w:r>
            <w:r w:rsidRPr="00EC0582">
              <w:rPr>
                <w:rFonts w:asciiTheme="minorHAnsi" w:hAnsiTheme="minorHAnsi" w:cstheme="minorHAnsi"/>
              </w:rPr>
              <w:t xml:space="preserve"> to implement National Child Safe Standards</w:t>
            </w:r>
            <w:r w:rsidR="00002AD1">
              <w:rPr>
                <w:rFonts w:asciiTheme="minorHAnsi" w:hAnsiTheme="minorHAnsi" w:cstheme="minorHAnsi"/>
              </w:rPr>
              <w:t xml:space="preserve">, </w:t>
            </w:r>
            <w:r w:rsidRPr="00EC0582">
              <w:rPr>
                <w:rFonts w:asciiTheme="minorHAnsi" w:hAnsiTheme="minorHAnsi" w:cstheme="minorHAnsi"/>
              </w:rPr>
              <w:t xml:space="preserve">in particular, </w:t>
            </w:r>
            <w:r w:rsidR="00FF1C87">
              <w:rPr>
                <w:rFonts w:asciiTheme="minorHAnsi" w:hAnsiTheme="minorHAnsi" w:cstheme="minorHAnsi"/>
              </w:rPr>
              <w:t xml:space="preserve">ensuring that </w:t>
            </w:r>
            <w:r w:rsidRPr="00EC0582">
              <w:rPr>
                <w:rFonts w:asciiTheme="minorHAnsi" w:hAnsiTheme="minorHAnsi" w:cstheme="minorHAnsi"/>
              </w:rPr>
              <w:t xml:space="preserve">relevant </w:t>
            </w:r>
            <w:r w:rsidR="00FF1C87">
              <w:rPr>
                <w:rFonts w:asciiTheme="minorHAnsi" w:hAnsiTheme="minorHAnsi" w:cstheme="minorHAnsi"/>
              </w:rPr>
              <w:t xml:space="preserve">NFP </w:t>
            </w:r>
            <w:r w:rsidRPr="00EC0582">
              <w:rPr>
                <w:rFonts w:asciiTheme="minorHAnsi" w:hAnsiTheme="minorHAnsi" w:cstheme="minorHAnsi"/>
              </w:rPr>
              <w:t>staff and volunteers ha</w:t>
            </w:r>
            <w:r w:rsidR="00AF4AFA">
              <w:rPr>
                <w:rFonts w:asciiTheme="minorHAnsi" w:hAnsiTheme="minorHAnsi" w:cstheme="minorHAnsi"/>
              </w:rPr>
              <w:t>ve Working With Children Checks</w:t>
            </w:r>
            <w:r w:rsidR="00FF1C87">
              <w:t xml:space="preserve"> </w:t>
            </w:r>
          </w:p>
          <w:p w:rsidR="00EC0582" w:rsidRPr="00EC0582" w:rsidRDefault="00FF1C87" w:rsidP="005131E3">
            <w:pPr>
              <w:pStyle w:val="ListParagraph"/>
              <w:numPr>
                <w:ilvl w:val="0"/>
                <w:numId w:val="35"/>
              </w:numPr>
              <w:spacing w:before="120" w:after="120"/>
              <w:ind w:left="360"/>
              <w:contextualSpacing w:val="0"/>
              <w:rPr>
                <w:rFonts w:asciiTheme="minorHAnsi" w:hAnsiTheme="minorHAnsi" w:cstheme="minorHAnsi"/>
              </w:rPr>
            </w:pPr>
            <w:r w:rsidRPr="00FF1C87">
              <w:rPr>
                <w:rFonts w:asciiTheme="minorHAnsi" w:hAnsiTheme="minorHAnsi" w:cstheme="minorHAnsi"/>
              </w:rPr>
              <w:t xml:space="preserve">implementation of a national system of Working with Children Checks should be a priority for the NFP sector, and should </w:t>
            </w:r>
            <w:r w:rsidR="00DC0D04">
              <w:rPr>
                <w:rFonts w:asciiTheme="minorHAnsi" w:hAnsiTheme="minorHAnsi" w:cstheme="minorHAnsi"/>
              </w:rPr>
              <w:t xml:space="preserve">also </w:t>
            </w:r>
            <w:r w:rsidRPr="00FF1C87">
              <w:rPr>
                <w:rFonts w:asciiTheme="minorHAnsi" w:hAnsiTheme="minorHAnsi" w:cstheme="minorHAnsi"/>
              </w:rPr>
              <w:t xml:space="preserve">be extended to a </w:t>
            </w:r>
            <w:r w:rsidR="00DC0D04">
              <w:rPr>
                <w:rFonts w:asciiTheme="minorHAnsi" w:hAnsiTheme="minorHAnsi" w:cstheme="minorHAnsi"/>
              </w:rPr>
              <w:t xml:space="preserve">national system of </w:t>
            </w:r>
            <w:r w:rsidRPr="00FF1C87">
              <w:rPr>
                <w:rFonts w:asciiTheme="minorHAnsi" w:hAnsiTheme="minorHAnsi" w:cstheme="minorHAnsi"/>
              </w:rPr>
              <w:t>checks for those working with vulnerable people.</w:t>
            </w:r>
            <w:r w:rsidR="00002AD1">
              <w:rPr>
                <w:rFonts w:asciiTheme="minorHAnsi" w:hAnsiTheme="minorHAnsi" w:cstheme="minorHAnsi"/>
              </w:rPr>
              <w:t xml:space="preserve">  </w:t>
            </w:r>
            <w:r w:rsidRPr="00FF1C87">
              <w:rPr>
                <w:rFonts w:asciiTheme="minorHAnsi" w:hAnsiTheme="minorHAnsi" w:cstheme="minorHAnsi"/>
              </w:rPr>
              <w:t>The ACNC can play an important role as the national regulator in ensuring a consistent national system of codes of conducts and good practice for the sector</w:t>
            </w:r>
            <w:r>
              <w:rPr>
                <w:rFonts w:asciiTheme="minorHAnsi" w:hAnsiTheme="minorHAnsi" w:cstheme="minorHAnsi"/>
              </w:rPr>
              <w:t>, and</w:t>
            </w:r>
          </w:p>
          <w:p w:rsidR="00EC0582" w:rsidRPr="00EC0582" w:rsidRDefault="00EC0582" w:rsidP="005131E3">
            <w:pPr>
              <w:pStyle w:val="ListParagraph"/>
              <w:numPr>
                <w:ilvl w:val="0"/>
                <w:numId w:val="35"/>
              </w:numPr>
              <w:spacing w:before="120" w:after="120"/>
              <w:ind w:left="357" w:hanging="357"/>
              <w:contextualSpacing w:val="0"/>
              <w:rPr>
                <w:rFonts w:asciiTheme="minorHAnsi" w:hAnsiTheme="minorHAnsi" w:cstheme="minorHAnsi"/>
              </w:rPr>
            </w:pPr>
            <w:r w:rsidRPr="00EC0582">
              <w:rPr>
                <w:rFonts w:asciiTheme="minorHAnsi" w:hAnsiTheme="minorHAnsi" w:cstheme="minorHAnsi"/>
              </w:rPr>
              <w:t>the benefits of implementing a national system of checks is two-fold</w:t>
            </w:r>
            <w:r w:rsidR="00002AD1">
              <w:rPr>
                <w:rFonts w:asciiTheme="minorHAnsi" w:hAnsiTheme="minorHAnsi" w:cstheme="minorHAnsi"/>
              </w:rPr>
              <w:t xml:space="preserve">, </w:t>
            </w:r>
            <w:r w:rsidRPr="00EC0582">
              <w:rPr>
                <w:rFonts w:asciiTheme="minorHAnsi" w:hAnsiTheme="minorHAnsi" w:cstheme="minorHAnsi"/>
              </w:rPr>
              <w:t>it meets the need for:</w:t>
            </w:r>
          </w:p>
          <w:p w:rsidR="00EC0582" w:rsidRPr="00EC0582" w:rsidRDefault="00EC0582" w:rsidP="00EC0582">
            <w:pPr>
              <w:spacing w:before="120" w:after="120"/>
              <w:ind w:left="357"/>
              <w:rPr>
                <w:rFonts w:asciiTheme="minorHAnsi" w:hAnsiTheme="minorHAnsi" w:cstheme="minorHAnsi"/>
              </w:rPr>
            </w:pPr>
            <w:r>
              <w:rPr>
                <w:rFonts w:asciiTheme="minorHAnsi" w:hAnsiTheme="minorHAnsi" w:cstheme="minorHAnsi"/>
              </w:rPr>
              <w:t xml:space="preserve">(i) </w:t>
            </w:r>
            <w:r w:rsidRPr="00EC0582">
              <w:rPr>
                <w:rFonts w:asciiTheme="minorHAnsi" w:hAnsiTheme="minorHAnsi" w:cstheme="minorHAnsi"/>
              </w:rPr>
              <w:t xml:space="preserve">more streamlined arrangements for NFP entities, reducing red tape for the sector and providing a more efficient and effective national system, eliminating duplication and inconsistencies, while maintaining public trust and confidence in those institutions, and </w:t>
            </w:r>
          </w:p>
          <w:p w:rsidR="00E37C63" w:rsidRPr="0028593D" w:rsidRDefault="00EC0582" w:rsidP="00EC0582">
            <w:pPr>
              <w:spacing w:before="120" w:after="120"/>
              <w:ind w:left="357"/>
              <w:rPr>
                <w:rFonts w:asciiTheme="minorHAnsi" w:hAnsiTheme="minorHAnsi" w:cstheme="minorHAnsi"/>
                <w:b/>
                <w:i/>
              </w:rPr>
            </w:pPr>
            <w:r>
              <w:rPr>
                <w:rFonts w:asciiTheme="minorHAnsi" w:hAnsiTheme="minorHAnsi" w:cstheme="minorHAnsi"/>
              </w:rPr>
              <w:t xml:space="preserve">(ii) </w:t>
            </w:r>
            <w:r w:rsidRPr="00EC0582">
              <w:rPr>
                <w:rFonts w:asciiTheme="minorHAnsi" w:hAnsiTheme="minorHAnsi" w:cstheme="minorHAnsi"/>
              </w:rPr>
              <w:t>more consistent national police checks to help ensure the wellbeing and safety of children and vulnerable people, such as people with disability and the frail older people, in institutional care or receiving services and support from NFP organisations, in particular their staff and volunteers.</w:t>
            </w:r>
            <w:r w:rsidRPr="00EC0582">
              <w:rPr>
                <w:rFonts w:asciiTheme="minorHAnsi" w:hAnsiTheme="minorHAnsi" w:cstheme="minorHAnsi"/>
                <w:b/>
                <w:i/>
              </w:rPr>
              <w:t xml:space="preserve">   </w:t>
            </w:r>
          </w:p>
        </w:tc>
      </w:tr>
      <w:tr w:rsidR="00694F87" w:rsidRPr="00E97B0F" w:rsidTr="00C53622">
        <w:tc>
          <w:tcPr>
            <w:tcW w:w="495" w:type="dxa"/>
          </w:tcPr>
          <w:p w:rsidR="00694F87" w:rsidRPr="00E97B0F" w:rsidRDefault="00DB1DD9" w:rsidP="00BD700F">
            <w:pPr>
              <w:spacing w:before="120" w:after="120"/>
              <w:rPr>
                <w:rFonts w:asciiTheme="minorHAnsi" w:hAnsiTheme="minorHAnsi" w:cstheme="minorHAnsi"/>
              </w:rPr>
            </w:pPr>
            <w:r>
              <w:rPr>
                <w:rFonts w:asciiTheme="minorHAnsi" w:hAnsiTheme="minorHAnsi" w:cstheme="minorHAnsi"/>
              </w:rPr>
              <w:t>1</w:t>
            </w:r>
            <w:r w:rsidR="00BD700F">
              <w:rPr>
                <w:rFonts w:asciiTheme="minorHAnsi" w:hAnsiTheme="minorHAnsi" w:cstheme="minorHAnsi"/>
              </w:rPr>
              <w:t>8</w:t>
            </w:r>
            <w:r>
              <w:rPr>
                <w:rFonts w:asciiTheme="minorHAnsi" w:hAnsiTheme="minorHAnsi" w:cstheme="minorHAnsi"/>
              </w:rPr>
              <w:t>.</w:t>
            </w:r>
          </w:p>
        </w:tc>
        <w:tc>
          <w:tcPr>
            <w:tcW w:w="8969" w:type="dxa"/>
          </w:tcPr>
          <w:p w:rsidR="00694F87" w:rsidRDefault="001510AF" w:rsidP="00FE6325">
            <w:pPr>
              <w:spacing w:before="120" w:after="120"/>
              <w:rPr>
                <w:rFonts w:asciiTheme="minorHAnsi" w:hAnsiTheme="minorHAnsi" w:cstheme="minorHAnsi"/>
                <w:b/>
                <w:i/>
              </w:rPr>
            </w:pPr>
            <w:r w:rsidRPr="001510AF">
              <w:rPr>
                <w:rFonts w:asciiTheme="minorHAnsi" w:hAnsiTheme="minorHAnsi" w:cstheme="minorHAnsi"/>
                <w:b/>
                <w:i/>
              </w:rPr>
              <w:t xml:space="preserve">Object 3 - </w:t>
            </w:r>
            <w:r w:rsidR="00ED41F5" w:rsidRPr="00ED41F5">
              <w:rPr>
                <w:rFonts w:asciiTheme="minorHAnsi" w:hAnsiTheme="minorHAnsi" w:cstheme="minorHAnsi"/>
                <w:b/>
                <w:i/>
              </w:rPr>
              <w:t>Promotion of common financial reporting</w:t>
            </w:r>
          </w:p>
          <w:p w:rsidR="00821DBD" w:rsidRPr="002064FD" w:rsidRDefault="002064FD" w:rsidP="00D73875">
            <w:pPr>
              <w:spacing w:before="120" w:after="120"/>
              <w:rPr>
                <w:rFonts w:asciiTheme="minorHAnsi" w:hAnsiTheme="minorHAnsi" w:cstheme="minorHAnsi"/>
              </w:rPr>
            </w:pPr>
            <w:r w:rsidRPr="002064FD">
              <w:rPr>
                <w:rFonts w:asciiTheme="minorHAnsi" w:hAnsiTheme="minorHAnsi" w:cstheme="minorHAnsi"/>
              </w:rPr>
              <w:t xml:space="preserve">Consider that the ACNC is the appropriate organisation to encourage </w:t>
            </w:r>
            <w:r w:rsidR="00C7354F">
              <w:rPr>
                <w:rFonts w:asciiTheme="minorHAnsi" w:hAnsiTheme="minorHAnsi" w:cstheme="minorHAnsi"/>
              </w:rPr>
              <w:t xml:space="preserve">the </w:t>
            </w:r>
            <w:r w:rsidRPr="002064FD">
              <w:rPr>
                <w:rFonts w:asciiTheme="minorHAnsi" w:hAnsiTheme="minorHAnsi" w:cstheme="minorHAnsi"/>
              </w:rPr>
              <w:t>Australian Accounting Standards Board to develop an appropriate agreed standard of financial reporting protocols for the sector.  Currently no standard exists, and it is very difficult for any interested parties to compare the relative financ</w:t>
            </w:r>
            <w:r w:rsidR="00D73875">
              <w:rPr>
                <w:rFonts w:asciiTheme="minorHAnsi" w:hAnsiTheme="minorHAnsi" w:cstheme="minorHAnsi"/>
              </w:rPr>
              <w:t>ial</w:t>
            </w:r>
            <w:r w:rsidRPr="002064FD">
              <w:rPr>
                <w:rFonts w:asciiTheme="minorHAnsi" w:hAnsiTheme="minorHAnsi" w:cstheme="minorHAnsi"/>
              </w:rPr>
              <w:t xml:space="preserve"> performance of charities.  Specific accounting provisions for the NFP sectors have been agreed in the Singapore and New Zealand jurisdictions.  This is particularly relevant in relation to the reporting of consolidated accounts.</w:t>
            </w:r>
          </w:p>
        </w:tc>
      </w:tr>
      <w:tr w:rsidR="00694F87" w:rsidRPr="00E97B0F" w:rsidTr="00C53622">
        <w:tc>
          <w:tcPr>
            <w:tcW w:w="495" w:type="dxa"/>
          </w:tcPr>
          <w:p w:rsidR="00694F87" w:rsidRPr="00E97B0F" w:rsidRDefault="00DB1DD9" w:rsidP="00BD700F">
            <w:pPr>
              <w:spacing w:before="120" w:after="120"/>
              <w:rPr>
                <w:rFonts w:asciiTheme="minorHAnsi" w:hAnsiTheme="minorHAnsi" w:cstheme="minorHAnsi"/>
              </w:rPr>
            </w:pPr>
            <w:r>
              <w:rPr>
                <w:rFonts w:asciiTheme="minorHAnsi" w:hAnsiTheme="minorHAnsi" w:cstheme="minorHAnsi"/>
              </w:rPr>
              <w:t>1</w:t>
            </w:r>
            <w:r w:rsidR="00BD700F">
              <w:rPr>
                <w:rFonts w:asciiTheme="minorHAnsi" w:hAnsiTheme="minorHAnsi" w:cstheme="minorHAnsi"/>
              </w:rPr>
              <w:t>9</w:t>
            </w:r>
            <w:r>
              <w:rPr>
                <w:rFonts w:asciiTheme="minorHAnsi" w:hAnsiTheme="minorHAnsi" w:cstheme="minorHAnsi"/>
              </w:rPr>
              <w:t>.</w:t>
            </w:r>
          </w:p>
        </w:tc>
        <w:tc>
          <w:tcPr>
            <w:tcW w:w="8969" w:type="dxa"/>
          </w:tcPr>
          <w:p w:rsidR="00694F87" w:rsidRDefault="00ED41F5" w:rsidP="00FE6325">
            <w:pPr>
              <w:spacing w:before="120" w:after="120"/>
              <w:rPr>
                <w:rFonts w:asciiTheme="minorHAnsi" w:hAnsiTheme="minorHAnsi" w:cstheme="minorHAnsi"/>
                <w:b/>
                <w:i/>
              </w:rPr>
            </w:pPr>
            <w:r w:rsidRPr="00ED41F5">
              <w:rPr>
                <w:rFonts w:asciiTheme="minorHAnsi" w:hAnsiTheme="minorHAnsi" w:cstheme="minorHAnsi"/>
                <w:b/>
                <w:i/>
              </w:rPr>
              <w:t>Object 3 - Overlap between the ACNC Acts and Corporations Law</w:t>
            </w:r>
          </w:p>
          <w:p w:rsidR="00821DBD" w:rsidRPr="004164A5" w:rsidRDefault="004164A5" w:rsidP="004164A5">
            <w:pPr>
              <w:spacing w:before="120" w:after="120"/>
              <w:rPr>
                <w:rFonts w:asciiTheme="minorHAnsi" w:hAnsiTheme="minorHAnsi" w:cstheme="minorHAnsi"/>
              </w:rPr>
            </w:pPr>
            <w:r w:rsidRPr="004164A5">
              <w:rPr>
                <w:rFonts w:asciiTheme="minorHAnsi" w:hAnsiTheme="minorHAnsi" w:cstheme="minorHAnsi"/>
              </w:rPr>
              <w:t>Consider a review of the technical overlap between the ACNC Acts and Corporations Law to ensure consistency between each.</w:t>
            </w:r>
          </w:p>
        </w:tc>
      </w:tr>
      <w:tr w:rsidR="00ED41F5" w:rsidRPr="00E97B0F" w:rsidTr="00C53622">
        <w:tc>
          <w:tcPr>
            <w:tcW w:w="495" w:type="dxa"/>
          </w:tcPr>
          <w:p w:rsidR="00ED41F5" w:rsidRDefault="00BD700F" w:rsidP="00BD700F">
            <w:pPr>
              <w:spacing w:before="120" w:after="120"/>
              <w:rPr>
                <w:rFonts w:asciiTheme="minorHAnsi" w:hAnsiTheme="minorHAnsi" w:cstheme="minorHAnsi"/>
              </w:rPr>
            </w:pPr>
            <w:r>
              <w:rPr>
                <w:rFonts w:asciiTheme="minorHAnsi" w:hAnsiTheme="minorHAnsi" w:cstheme="minorHAnsi"/>
              </w:rPr>
              <w:t>20</w:t>
            </w:r>
            <w:r w:rsidR="00ED41F5">
              <w:rPr>
                <w:rFonts w:asciiTheme="minorHAnsi" w:hAnsiTheme="minorHAnsi" w:cstheme="minorHAnsi"/>
              </w:rPr>
              <w:t>.</w:t>
            </w:r>
          </w:p>
        </w:tc>
        <w:tc>
          <w:tcPr>
            <w:tcW w:w="8969" w:type="dxa"/>
          </w:tcPr>
          <w:p w:rsidR="00ED41F5" w:rsidRDefault="00ED41F5" w:rsidP="00FE6325">
            <w:pPr>
              <w:spacing w:before="120" w:after="120"/>
              <w:rPr>
                <w:rFonts w:asciiTheme="minorHAnsi" w:hAnsiTheme="minorHAnsi" w:cstheme="minorHAnsi"/>
                <w:b/>
                <w:i/>
              </w:rPr>
            </w:pPr>
            <w:r>
              <w:rPr>
                <w:rFonts w:asciiTheme="minorHAnsi" w:hAnsiTheme="minorHAnsi" w:cstheme="minorHAnsi"/>
                <w:b/>
                <w:i/>
              </w:rPr>
              <w:t xml:space="preserve">Object 3 - </w:t>
            </w:r>
            <w:r w:rsidRPr="00ED41F5">
              <w:rPr>
                <w:rFonts w:asciiTheme="minorHAnsi" w:hAnsiTheme="minorHAnsi" w:cstheme="minorHAnsi"/>
                <w:b/>
                <w:i/>
              </w:rPr>
              <w:t>Representation at Council of Australian Governments (COAG)</w:t>
            </w:r>
          </w:p>
          <w:p w:rsidR="00821DBD" w:rsidRPr="00BA6856" w:rsidRDefault="00BA6856" w:rsidP="00BA6856">
            <w:pPr>
              <w:spacing w:before="120" w:after="120"/>
              <w:rPr>
                <w:rFonts w:asciiTheme="minorHAnsi" w:hAnsiTheme="minorHAnsi" w:cstheme="minorHAnsi"/>
              </w:rPr>
            </w:pPr>
            <w:r w:rsidRPr="00BA6856">
              <w:rPr>
                <w:rFonts w:asciiTheme="minorHAnsi" w:hAnsiTheme="minorHAnsi" w:cstheme="minorHAnsi"/>
              </w:rPr>
              <w:t xml:space="preserve">Consider that the ACNC having an identified role on COAG would ensure a suite of legislative and practical measures to strengthen a nationally consistent approach to the </w:t>
            </w:r>
            <w:r>
              <w:rPr>
                <w:rFonts w:asciiTheme="minorHAnsi" w:hAnsiTheme="minorHAnsi" w:cstheme="minorHAnsi"/>
              </w:rPr>
              <w:t>NFP</w:t>
            </w:r>
            <w:r w:rsidRPr="00BA6856">
              <w:rPr>
                <w:rFonts w:asciiTheme="minorHAnsi" w:hAnsiTheme="minorHAnsi" w:cstheme="minorHAnsi"/>
              </w:rPr>
              <w:t xml:space="preserve"> sector.</w:t>
            </w:r>
          </w:p>
        </w:tc>
      </w:tr>
      <w:tr w:rsidR="00ED41F5" w:rsidRPr="00E97B0F" w:rsidTr="00C53622">
        <w:tc>
          <w:tcPr>
            <w:tcW w:w="495" w:type="dxa"/>
          </w:tcPr>
          <w:p w:rsidR="00ED41F5" w:rsidRDefault="00ED41F5" w:rsidP="00BD700F">
            <w:pPr>
              <w:spacing w:before="120" w:after="120"/>
              <w:rPr>
                <w:rFonts w:asciiTheme="minorHAnsi" w:hAnsiTheme="minorHAnsi" w:cstheme="minorHAnsi"/>
              </w:rPr>
            </w:pPr>
            <w:r>
              <w:rPr>
                <w:rFonts w:asciiTheme="minorHAnsi" w:hAnsiTheme="minorHAnsi" w:cstheme="minorHAnsi"/>
              </w:rPr>
              <w:t>2</w:t>
            </w:r>
            <w:r w:rsidR="00BD700F">
              <w:rPr>
                <w:rFonts w:asciiTheme="minorHAnsi" w:hAnsiTheme="minorHAnsi" w:cstheme="minorHAnsi"/>
              </w:rPr>
              <w:t>1</w:t>
            </w:r>
            <w:r>
              <w:rPr>
                <w:rFonts w:asciiTheme="minorHAnsi" w:hAnsiTheme="minorHAnsi" w:cstheme="minorHAnsi"/>
              </w:rPr>
              <w:t>.</w:t>
            </w:r>
          </w:p>
        </w:tc>
        <w:tc>
          <w:tcPr>
            <w:tcW w:w="8969" w:type="dxa"/>
          </w:tcPr>
          <w:p w:rsidR="00ED41F5" w:rsidRDefault="00ED41F5" w:rsidP="00FE6325">
            <w:pPr>
              <w:spacing w:before="120" w:after="120"/>
              <w:rPr>
                <w:rFonts w:asciiTheme="minorHAnsi" w:hAnsiTheme="minorHAnsi" w:cstheme="minorHAnsi"/>
                <w:b/>
                <w:i/>
              </w:rPr>
            </w:pPr>
            <w:r>
              <w:rPr>
                <w:rFonts w:asciiTheme="minorHAnsi" w:hAnsiTheme="minorHAnsi" w:cstheme="minorHAnsi"/>
                <w:b/>
                <w:i/>
              </w:rPr>
              <w:t xml:space="preserve">Object 3 - </w:t>
            </w:r>
            <w:r w:rsidRPr="00ED41F5">
              <w:rPr>
                <w:rFonts w:asciiTheme="minorHAnsi" w:hAnsiTheme="minorHAnsi" w:cstheme="minorHAnsi"/>
                <w:b/>
                <w:i/>
              </w:rPr>
              <w:t>Mandatory use of ACNC Charity Passport by Government</w:t>
            </w:r>
          </w:p>
          <w:p w:rsidR="005273B1" w:rsidRDefault="006420D2" w:rsidP="006420D2">
            <w:pPr>
              <w:spacing w:before="120" w:after="120"/>
              <w:rPr>
                <w:rFonts w:asciiTheme="minorHAnsi" w:hAnsiTheme="minorHAnsi" w:cstheme="minorHAnsi"/>
              </w:rPr>
            </w:pPr>
            <w:r w:rsidRPr="006420D2">
              <w:rPr>
                <w:rFonts w:asciiTheme="minorHAnsi" w:hAnsiTheme="minorHAnsi" w:cstheme="minorHAnsi"/>
              </w:rPr>
              <w:t>Consider that</w:t>
            </w:r>
            <w:r w:rsidR="005273B1">
              <w:rPr>
                <w:rFonts w:asciiTheme="minorHAnsi" w:hAnsiTheme="minorHAnsi" w:cstheme="minorHAnsi"/>
              </w:rPr>
              <w:t>:</w:t>
            </w:r>
          </w:p>
          <w:p w:rsidR="006420D2" w:rsidRPr="005273B1" w:rsidRDefault="006420D2" w:rsidP="005131E3">
            <w:pPr>
              <w:pStyle w:val="ListParagraph"/>
              <w:numPr>
                <w:ilvl w:val="0"/>
                <w:numId w:val="36"/>
              </w:numPr>
              <w:spacing w:before="120" w:after="120"/>
              <w:ind w:left="357" w:hanging="357"/>
              <w:contextualSpacing w:val="0"/>
              <w:rPr>
                <w:rFonts w:asciiTheme="minorHAnsi" w:hAnsiTheme="minorHAnsi" w:cstheme="minorHAnsi"/>
              </w:rPr>
            </w:pPr>
            <w:r w:rsidRPr="005273B1">
              <w:rPr>
                <w:rFonts w:asciiTheme="minorHAnsi" w:hAnsiTheme="minorHAnsi" w:cstheme="minorHAnsi"/>
              </w:rPr>
              <w:t>use of the ACNC Charity Passport would enable authorised government agencies to access ACNC charity data via a file protocol process to reduce red tape for charities. By allowing agencies to access charity data directly from ACNC, the Charity Passport would reduce the amount of information that charities must provide to different government agencies, in line with a ‘report once, use often’ reporting fra</w:t>
            </w:r>
            <w:r w:rsidR="005273B1" w:rsidRPr="005273B1">
              <w:rPr>
                <w:rFonts w:asciiTheme="minorHAnsi" w:hAnsiTheme="minorHAnsi" w:cstheme="minorHAnsi"/>
              </w:rPr>
              <w:t>mework</w:t>
            </w:r>
          </w:p>
          <w:p w:rsidR="00302F67" w:rsidRPr="00D04A64" w:rsidRDefault="005273B1" w:rsidP="005131E3">
            <w:pPr>
              <w:pStyle w:val="ListParagraph"/>
              <w:numPr>
                <w:ilvl w:val="0"/>
                <w:numId w:val="36"/>
              </w:numPr>
              <w:spacing w:before="120" w:after="120"/>
              <w:ind w:left="357" w:hanging="357"/>
              <w:contextualSpacing w:val="0"/>
              <w:rPr>
                <w:rFonts w:asciiTheme="minorHAnsi" w:hAnsiTheme="minorHAnsi" w:cstheme="minorHAnsi"/>
              </w:rPr>
            </w:pPr>
            <w:r w:rsidRPr="00D04A64">
              <w:rPr>
                <w:rFonts w:asciiTheme="minorHAnsi" w:hAnsiTheme="minorHAnsi" w:cstheme="minorHAnsi"/>
              </w:rPr>
              <w:t>t</w:t>
            </w:r>
            <w:r w:rsidR="006420D2" w:rsidRPr="00D04A64">
              <w:rPr>
                <w:rFonts w:asciiTheme="minorHAnsi" w:hAnsiTheme="minorHAnsi" w:cstheme="minorHAnsi"/>
              </w:rPr>
              <w:t xml:space="preserve">here is considerable opportunity to increase use of the </w:t>
            </w:r>
            <w:r w:rsidRPr="00D04A64">
              <w:rPr>
                <w:rFonts w:asciiTheme="minorHAnsi" w:hAnsiTheme="minorHAnsi" w:cstheme="minorHAnsi"/>
              </w:rPr>
              <w:t xml:space="preserve">ACNC Charity Passport </w:t>
            </w:r>
            <w:r w:rsidR="006420D2" w:rsidRPr="00D04A64">
              <w:rPr>
                <w:rFonts w:asciiTheme="minorHAnsi" w:hAnsiTheme="minorHAnsi" w:cstheme="minorHAnsi"/>
              </w:rPr>
              <w:t xml:space="preserve">service, </w:t>
            </w:r>
            <w:r w:rsidRPr="00D04A64">
              <w:rPr>
                <w:rFonts w:asciiTheme="minorHAnsi" w:hAnsiTheme="minorHAnsi" w:cstheme="minorHAnsi"/>
              </w:rPr>
              <w:t xml:space="preserve">with the </w:t>
            </w:r>
            <w:r w:rsidR="006420D2" w:rsidRPr="00D04A64">
              <w:rPr>
                <w:rFonts w:asciiTheme="minorHAnsi" w:hAnsiTheme="minorHAnsi" w:cstheme="minorHAnsi"/>
              </w:rPr>
              <w:t xml:space="preserve">potential to use the Charity Passport as a mandatory requirement for funding purposes across </w:t>
            </w:r>
            <w:r w:rsidRPr="00D04A64">
              <w:rPr>
                <w:rFonts w:asciiTheme="minorHAnsi" w:hAnsiTheme="minorHAnsi" w:cstheme="minorHAnsi"/>
              </w:rPr>
              <w:t xml:space="preserve">the </w:t>
            </w:r>
            <w:r w:rsidR="006420D2" w:rsidRPr="00D04A64">
              <w:rPr>
                <w:rFonts w:asciiTheme="minorHAnsi" w:hAnsiTheme="minorHAnsi" w:cstheme="minorHAnsi"/>
              </w:rPr>
              <w:t>Commonwealth Government, for example in the assessment of grant applications by the Department of Social Services Community Grants Hub</w:t>
            </w:r>
            <w:r w:rsidR="00D278AC">
              <w:rPr>
                <w:rFonts w:asciiTheme="minorHAnsi" w:hAnsiTheme="minorHAnsi" w:cstheme="minorHAnsi"/>
              </w:rPr>
              <w:t xml:space="preserve">.  </w:t>
            </w:r>
            <w:r w:rsidR="006420D2" w:rsidRPr="00D04A64">
              <w:rPr>
                <w:rFonts w:asciiTheme="minorHAnsi" w:hAnsiTheme="minorHAnsi" w:cstheme="minorHAnsi"/>
              </w:rPr>
              <w:t xml:space="preserve">Organisations that are not charities would not be disadvantaged, and could apply </w:t>
            </w:r>
            <w:r w:rsidR="00D278AC">
              <w:rPr>
                <w:rFonts w:asciiTheme="minorHAnsi" w:hAnsiTheme="minorHAnsi" w:cstheme="minorHAnsi"/>
              </w:rPr>
              <w:t xml:space="preserve">for </w:t>
            </w:r>
            <w:r w:rsidR="006420D2" w:rsidRPr="00D04A64">
              <w:rPr>
                <w:rFonts w:asciiTheme="minorHAnsi" w:hAnsiTheme="minorHAnsi" w:cstheme="minorHAnsi"/>
              </w:rPr>
              <w:t>and acquit grants as normal, however charities would be relieved from providing information to government that is already held by the ACNC</w:t>
            </w:r>
            <w:r w:rsidR="00302F67" w:rsidRPr="00D04A64">
              <w:rPr>
                <w:rFonts w:asciiTheme="minorHAnsi" w:hAnsiTheme="minorHAnsi" w:cstheme="minorHAnsi"/>
              </w:rPr>
              <w:t>, and</w:t>
            </w:r>
          </w:p>
          <w:p w:rsidR="00821DBD" w:rsidRPr="00D04A64" w:rsidRDefault="00302F67" w:rsidP="00E92C5E">
            <w:pPr>
              <w:pStyle w:val="ListParagraph"/>
              <w:numPr>
                <w:ilvl w:val="0"/>
                <w:numId w:val="36"/>
              </w:numPr>
              <w:spacing w:before="120" w:after="120"/>
              <w:ind w:left="360"/>
              <w:contextualSpacing w:val="0"/>
              <w:rPr>
                <w:rFonts w:asciiTheme="minorHAnsi" w:hAnsiTheme="minorHAnsi" w:cstheme="minorHAnsi"/>
              </w:rPr>
            </w:pPr>
            <w:r w:rsidRPr="00D278AC">
              <w:rPr>
                <w:rFonts w:asciiTheme="minorHAnsi" w:hAnsiTheme="minorHAnsi" w:cstheme="minorHAnsi"/>
              </w:rPr>
              <w:t xml:space="preserve">a </w:t>
            </w:r>
            <w:r w:rsidR="009D0062" w:rsidRPr="00D278AC">
              <w:rPr>
                <w:rFonts w:asciiTheme="minorHAnsi" w:hAnsiTheme="minorHAnsi" w:cstheme="minorHAnsi"/>
              </w:rPr>
              <w:t xml:space="preserve">national </w:t>
            </w:r>
            <w:r w:rsidRPr="00D278AC">
              <w:rPr>
                <w:rFonts w:asciiTheme="minorHAnsi" w:hAnsiTheme="minorHAnsi" w:cstheme="minorHAnsi"/>
              </w:rPr>
              <w:t>Volunteer Passport</w:t>
            </w:r>
            <w:r w:rsidR="00D04A64" w:rsidRPr="00D278AC">
              <w:rPr>
                <w:rFonts w:asciiTheme="minorHAnsi" w:hAnsiTheme="minorHAnsi" w:cstheme="minorHAnsi"/>
              </w:rPr>
              <w:t xml:space="preserve"> </w:t>
            </w:r>
            <w:r w:rsidR="00E92C5E" w:rsidRPr="00D278AC">
              <w:rPr>
                <w:rFonts w:asciiTheme="minorHAnsi" w:hAnsiTheme="minorHAnsi" w:cstheme="minorHAnsi"/>
              </w:rPr>
              <w:t>c</w:t>
            </w:r>
            <w:r w:rsidR="00D04A64" w:rsidRPr="00D278AC">
              <w:rPr>
                <w:rFonts w:asciiTheme="minorHAnsi" w:hAnsiTheme="minorHAnsi" w:cstheme="minorHAnsi"/>
              </w:rPr>
              <w:t>ould also offer benefits in streamlined arrangements for NFP entities, reducing red tape for the sector and in attracting and retaining volunteers in the sector</w:t>
            </w:r>
            <w:r w:rsidR="006420D2" w:rsidRPr="00D278AC">
              <w:rPr>
                <w:rFonts w:asciiTheme="minorHAnsi" w:hAnsiTheme="minorHAnsi" w:cstheme="minorHAnsi"/>
              </w:rPr>
              <w:t>.</w:t>
            </w:r>
            <w:r w:rsidR="006420D2" w:rsidRPr="00D04A64">
              <w:rPr>
                <w:rFonts w:asciiTheme="minorHAnsi" w:hAnsiTheme="minorHAnsi" w:cstheme="minorHAnsi"/>
              </w:rPr>
              <w:t xml:space="preserve"> </w:t>
            </w:r>
            <w:r w:rsidR="005273B1" w:rsidRPr="00D04A64">
              <w:rPr>
                <w:rFonts w:asciiTheme="minorHAnsi" w:hAnsiTheme="minorHAnsi" w:cstheme="minorHAnsi"/>
              </w:rPr>
              <w:t xml:space="preserve">  </w:t>
            </w:r>
          </w:p>
        </w:tc>
      </w:tr>
      <w:tr w:rsidR="00ED41F5" w:rsidRPr="00E97B0F" w:rsidTr="00C53622">
        <w:tc>
          <w:tcPr>
            <w:tcW w:w="495" w:type="dxa"/>
          </w:tcPr>
          <w:p w:rsidR="00ED41F5" w:rsidRDefault="00ED41F5" w:rsidP="00BD700F">
            <w:pPr>
              <w:spacing w:before="120" w:after="120"/>
              <w:rPr>
                <w:rFonts w:asciiTheme="minorHAnsi" w:hAnsiTheme="minorHAnsi" w:cstheme="minorHAnsi"/>
              </w:rPr>
            </w:pPr>
            <w:r>
              <w:rPr>
                <w:rFonts w:asciiTheme="minorHAnsi" w:hAnsiTheme="minorHAnsi" w:cstheme="minorHAnsi"/>
              </w:rPr>
              <w:t>2</w:t>
            </w:r>
            <w:r w:rsidR="00BD700F">
              <w:rPr>
                <w:rFonts w:asciiTheme="minorHAnsi" w:hAnsiTheme="minorHAnsi" w:cstheme="minorHAnsi"/>
              </w:rPr>
              <w:t>2</w:t>
            </w:r>
            <w:r>
              <w:rPr>
                <w:rFonts w:asciiTheme="minorHAnsi" w:hAnsiTheme="minorHAnsi" w:cstheme="minorHAnsi"/>
              </w:rPr>
              <w:t>.</w:t>
            </w:r>
          </w:p>
        </w:tc>
        <w:tc>
          <w:tcPr>
            <w:tcW w:w="8969" w:type="dxa"/>
          </w:tcPr>
          <w:p w:rsidR="00ED41F5" w:rsidRDefault="00ED41F5" w:rsidP="00FE6325">
            <w:pPr>
              <w:spacing w:before="120" w:after="120"/>
              <w:rPr>
                <w:rFonts w:asciiTheme="minorHAnsi" w:hAnsiTheme="minorHAnsi" w:cstheme="minorHAnsi"/>
                <w:b/>
                <w:i/>
              </w:rPr>
            </w:pPr>
            <w:r>
              <w:rPr>
                <w:rFonts w:asciiTheme="minorHAnsi" w:hAnsiTheme="minorHAnsi" w:cstheme="minorHAnsi"/>
                <w:b/>
                <w:i/>
              </w:rPr>
              <w:t xml:space="preserve">Object 3 - </w:t>
            </w:r>
            <w:r w:rsidRPr="00ED41F5">
              <w:rPr>
                <w:rFonts w:asciiTheme="minorHAnsi" w:hAnsiTheme="minorHAnsi" w:cstheme="minorHAnsi"/>
                <w:b/>
                <w:i/>
              </w:rPr>
              <w:t>Clarify the withholding provisions concerning Private Ancillary Funds (PAFs) and other organisations</w:t>
            </w:r>
          </w:p>
          <w:p w:rsidR="00821DBD" w:rsidRPr="00ED41F5" w:rsidRDefault="00AA32D4" w:rsidP="00AA32D4">
            <w:pPr>
              <w:spacing w:before="120" w:after="120"/>
              <w:rPr>
                <w:rFonts w:asciiTheme="minorHAnsi" w:hAnsiTheme="minorHAnsi" w:cstheme="minorHAnsi"/>
                <w:b/>
                <w:i/>
              </w:rPr>
            </w:pPr>
            <w:r>
              <w:rPr>
                <w:rFonts w:asciiTheme="minorHAnsi" w:hAnsiTheme="minorHAnsi" w:cstheme="minorHAnsi"/>
              </w:rPr>
              <w:t>Consider that i</w:t>
            </w:r>
            <w:r w:rsidRPr="00AA32D4">
              <w:rPr>
                <w:rFonts w:asciiTheme="minorHAnsi" w:hAnsiTheme="minorHAnsi" w:cstheme="minorHAnsi"/>
              </w:rPr>
              <w:t xml:space="preserve">t would be preferable for charities and ACNC if all identifiable information about PAFs could be simply withheld from the ACNC Register upon request from the PAF. De-identified information about PAFs could still potentially be published by ACNC in its public datasets. The withholding provisions applicable to PAFs should be reviewed to better support the government’s policy intent. </w:t>
            </w:r>
            <w:r>
              <w:rPr>
                <w:rFonts w:asciiTheme="minorHAnsi" w:hAnsiTheme="minorHAnsi" w:cstheme="minorHAnsi"/>
              </w:rPr>
              <w:t xml:space="preserve"> </w:t>
            </w:r>
            <w:r w:rsidRPr="00AA32D4">
              <w:rPr>
                <w:rFonts w:asciiTheme="minorHAnsi" w:hAnsiTheme="minorHAnsi" w:cstheme="minorHAnsi"/>
              </w:rPr>
              <w:t>The withholding of information could be widened to include other organisations, which would appropriately benefit from this reform.</w:t>
            </w:r>
          </w:p>
        </w:tc>
      </w:tr>
    </w:tbl>
    <w:p w:rsidR="00E97B0F" w:rsidRDefault="00E97B0F" w:rsidP="00E97B0F">
      <w:pPr>
        <w:rPr>
          <w:rFonts w:asciiTheme="minorHAnsi" w:hAnsiTheme="minorHAnsi"/>
        </w:rPr>
      </w:pPr>
    </w:p>
    <w:p w:rsidR="00E97B0F" w:rsidRDefault="00E97B0F" w:rsidP="0013671B">
      <w:pPr>
        <w:spacing w:after="0" w:line="240" w:lineRule="auto"/>
        <w:rPr>
          <w:rFonts w:asciiTheme="minorHAnsi" w:hAnsiTheme="minorHAnsi" w:cstheme="minorHAnsi"/>
          <w:b/>
          <w:sz w:val="26"/>
          <w:szCs w:val="26"/>
        </w:rPr>
      </w:pPr>
    </w:p>
    <w:p w:rsidR="00577EA9" w:rsidRDefault="00577EA9">
      <w:pPr>
        <w:rPr>
          <w:rFonts w:asciiTheme="minorHAnsi" w:hAnsiTheme="minorHAnsi" w:cstheme="minorHAnsi"/>
          <w:b/>
          <w:sz w:val="26"/>
          <w:szCs w:val="26"/>
        </w:rPr>
      </w:pPr>
      <w:r>
        <w:rPr>
          <w:rFonts w:asciiTheme="minorHAnsi" w:hAnsiTheme="minorHAnsi" w:cstheme="minorHAnsi"/>
          <w:b/>
          <w:sz w:val="26"/>
          <w:szCs w:val="26"/>
        </w:rPr>
        <w:br w:type="page"/>
      </w:r>
    </w:p>
    <w:p w:rsidR="00C30E36" w:rsidRPr="00B76492" w:rsidRDefault="00C30E36" w:rsidP="00C30E36">
      <w:pPr>
        <w:spacing w:after="120" w:line="240" w:lineRule="auto"/>
        <w:rPr>
          <w:rFonts w:asciiTheme="minorHAnsi" w:hAnsiTheme="minorHAnsi" w:cstheme="minorHAnsi"/>
          <w:b/>
          <w:sz w:val="32"/>
          <w:szCs w:val="32"/>
        </w:rPr>
      </w:pPr>
      <w:r w:rsidRPr="00B76492">
        <w:rPr>
          <w:rFonts w:asciiTheme="minorHAnsi" w:hAnsiTheme="minorHAnsi" w:cstheme="minorHAnsi"/>
          <w:b/>
          <w:sz w:val="32"/>
          <w:szCs w:val="32"/>
        </w:rPr>
        <w:t>Section 2:</w:t>
      </w:r>
    </w:p>
    <w:p w:rsidR="00597471" w:rsidRPr="005D1C97" w:rsidRDefault="00C30E36" w:rsidP="006F7B01">
      <w:pPr>
        <w:spacing w:after="0" w:line="240" w:lineRule="auto"/>
        <w:rPr>
          <w:rFonts w:asciiTheme="minorHAnsi" w:hAnsiTheme="minorHAnsi" w:cstheme="minorHAnsi"/>
          <w:b/>
          <w:sz w:val="28"/>
          <w:szCs w:val="28"/>
        </w:rPr>
      </w:pPr>
      <w:r w:rsidRPr="00B76492">
        <w:rPr>
          <w:rFonts w:asciiTheme="minorHAnsi" w:hAnsiTheme="minorHAnsi" w:cstheme="minorHAnsi"/>
          <w:b/>
          <w:sz w:val="28"/>
          <w:szCs w:val="28"/>
        </w:rPr>
        <w:t xml:space="preserve">Detailed Response </w:t>
      </w:r>
      <w:r w:rsidR="00734DD0" w:rsidRPr="00B76492">
        <w:rPr>
          <w:rFonts w:asciiTheme="minorHAnsi" w:hAnsiTheme="minorHAnsi" w:cstheme="minorHAnsi"/>
          <w:b/>
          <w:sz w:val="28"/>
          <w:szCs w:val="28"/>
        </w:rPr>
        <w:t>by the Prime Minister's Community Business Partnership (the Partnership)</w:t>
      </w:r>
      <w:r w:rsidR="006F7B01" w:rsidRPr="00B76492">
        <w:rPr>
          <w:rFonts w:asciiTheme="minorHAnsi" w:hAnsiTheme="minorHAnsi" w:cstheme="minorHAnsi"/>
          <w:b/>
          <w:sz w:val="28"/>
          <w:szCs w:val="28"/>
        </w:rPr>
        <w:t xml:space="preserve"> to the Review of Australian Charities and Not-for-profits Commission (ACNC) legislation (the ACNC </w:t>
      </w:r>
      <w:r w:rsidR="00116F64" w:rsidRPr="00B76492">
        <w:rPr>
          <w:rFonts w:asciiTheme="minorHAnsi" w:hAnsiTheme="minorHAnsi" w:cstheme="minorHAnsi"/>
          <w:b/>
          <w:sz w:val="28"/>
          <w:szCs w:val="28"/>
        </w:rPr>
        <w:t xml:space="preserve">Legislation </w:t>
      </w:r>
      <w:r w:rsidR="006F7B01" w:rsidRPr="00B76492">
        <w:rPr>
          <w:rFonts w:asciiTheme="minorHAnsi" w:hAnsiTheme="minorHAnsi" w:cstheme="minorHAnsi"/>
          <w:b/>
          <w:sz w:val="28"/>
          <w:szCs w:val="28"/>
        </w:rPr>
        <w:t>Review</w:t>
      </w:r>
      <w:r w:rsidR="006F7B01">
        <w:rPr>
          <w:rFonts w:asciiTheme="minorHAnsi" w:hAnsiTheme="minorHAnsi" w:cstheme="minorHAnsi"/>
          <w:b/>
          <w:sz w:val="28"/>
          <w:szCs w:val="28"/>
          <w:highlight w:val="yellow"/>
        </w:rPr>
        <w:t>)</w:t>
      </w:r>
    </w:p>
    <w:p w:rsidR="00915727" w:rsidRPr="00E97B0F" w:rsidRDefault="00E97B0F" w:rsidP="00E97B0F">
      <w:pPr>
        <w:spacing w:before="240" w:after="120" w:line="240" w:lineRule="auto"/>
        <w:rPr>
          <w:rFonts w:asciiTheme="minorHAnsi" w:hAnsiTheme="minorHAnsi" w:cstheme="minorHAnsi"/>
          <w:b/>
          <w:sz w:val="24"/>
          <w:szCs w:val="24"/>
          <w:u w:val="single"/>
        </w:rPr>
      </w:pPr>
      <w:r w:rsidRPr="00E97B0F">
        <w:rPr>
          <w:rFonts w:asciiTheme="minorHAnsi" w:hAnsiTheme="minorHAnsi" w:cstheme="minorHAnsi"/>
          <w:b/>
          <w:sz w:val="24"/>
          <w:szCs w:val="24"/>
          <w:u w:val="single"/>
        </w:rPr>
        <w:t>1.</w:t>
      </w:r>
      <w:r>
        <w:rPr>
          <w:rFonts w:asciiTheme="minorHAnsi" w:hAnsiTheme="minorHAnsi" w:cstheme="minorHAnsi"/>
          <w:b/>
          <w:sz w:val="24"/>
          <w:szCs w:val="24"/>
          <w:u w:val="single"/>
        </w:rPr>
        <w:t xml:space="preserve"> </w:t>
      </w:r>
      <w:r w:rsidR="00915727" w:rsidRPr="00E97B0F">
        <w:rPr>
          <w:rFonts w:asciiTheme="minorHAnsi" w:hAnsiTheme="minorHAnsi" w:cstheme="minorHAnsi"/>
          <w:b/>
          <w:sz w:val="24"/>
          <w:szCs w:val="24"/>
          <w:u w:val="single"/>
        </w:rPr>
        <w:t>Introduction</w:t>
      </w:r>
    </w:p>
    <w:p w:rsidR="009E7760" w:rsidRDefault="00B6796B" w:rsidP="0013671B">
      <w:pPr>
        <w:spacing w:before="120" w:after="120" w:line="240" w:lineRule="auto"/>
        <w:rPr>
          <w:rFonts w:asciiTheme="minorHAnsi" w:hAnsiTheme="minorHAnsi" w:cstheme="minorHAnsi"/>
        </w:rPr>
      </w:pPr>
      <w:r w:rsidRPr="00F31004">
        <w:rPr>
          <w:rFonts w:asciiTheme="minorHAnsi" w:hAnsiTheme="minorHAnsi" w:cstheme="minorHAnsi"/>
        </w:rPr>
        <w:t xml:space="preserve">The Partnership’s response </w:t>
      </w:r>
      <w:r w:rsidR="009E7760">
        <w:rPr>
          <w:rFonts w:asciiTheme="minorHAnsi" w:hAnsiTheme="minorHAnsi" w:cstheme="minorHAnsi"/>
        </w:rPr>
        <w:t>to the R</w:t>
      </w:r>
      <w:r w:rsidR="009E7760" w:rsidRPr="009E7760">
        <w:rPr>
          <w:rFonts w:asciiTheme="minorHAnsi" w:hAnsiTheme="minorHAnsi" w:cstheme="minorHAnsi"/>
        </w:rPr>
        <w:t>eview of Australian Charities and Not-for-profits Commission (ACNC) legislation</w:t>
      </w:r>
      <w:r w:rsidR="009E7760" w:rsidRPr="00F31004">
        <w:rPr>
          <w:rFonts w:asciiTheme="minorHAnsi" w:hAnsiTheme="minorHAnsi" w:cstheme="minorHAnsi"/>
          <w:b/>
        </w:rPr>
        <w:t xml:space="preserve"> </w:t>
      </w:r>
      <w:r w:rsidRPr="00F31004">
        <w:rPr>
          <w:rFonts w:asciiTheme="minorHAnsi" w:hAnsiTheme="minorHAnsi" w:cstheme="minorHAnsi"/>
        </w:rPr>
        <w:t>is focused primarily on evaluating the ongoing suitability and effectiveness of each of the three objects of the principal Act</w:t>
      </w:r>
      <w:r w:rsidR="009E7760">
        <w:rPr>
          <w:rFonts w:asciiTheme="minorHAnsi" w:hAnsiTheme="minorHAnsi" w:cstheme="minorHAnsi"/>
        </w:rPr>
        <w:t>, that is:</w:t>
      </w:r>
    </w:p>
    <w:p w:rsidR="009E7760" w:rsidRPr="009E7760" w:rsidRDefault="009E7760" w:rsidP="00196C84">
      <w:pPr>
        <w:pStyle w:val="ListParagraph"/>
        <w:numPr>
          <w:ilvl w:val="0"/>
          <w:numId w:val="9"/>
        </w:numPr>
        <w:spacing w:before="120" w:after="120" w:line="240" w:lineRule="auto"/>
        <w:rPr>
          <w:rFonts w:asciiTheme="minorHAnsi" w:hAnsiTheme="minorHAnsi" w:cstheme="minorHAnsi"/>
        </w:rPr>
      </w:pPr>
      <w:r w:rsidRPr="009E7760">
        <w:rPr>
          <w:rFonts w:asciiTheme="minorHAnsi" w:hAnsiTheme="minorHAnsi" w:cstheme="minorHAnsi"/>
        </w:rPr>
        <w:t xml:space="preserve">to maintain, protect and enhance public trust and confidence in the Australian not-for-profit sector </w:t>
      </w:r>
    </w:p>
    <w:p w:rsidR="009E7760" w:rsidRPr="009E7760" w:rsidRDefault="009E7760" w:rsidP="00196C84">
      <w:pPr>
        <w:pStyle w:val="ListParagraph"/>
        <w:numPr>
          <w:ilvl w:val="0"/>
          <w:numId w:val="9"/>
        </w:numPr>
        <w:spacing w:before="120" w:after="120" w:line="240" w:lineRule="auto"/>
        <w:rPr>
          <w:rFonts w:asciiTheme="minorHAnsi" w:hAnsiTheme="minorHAnsi" w:cstheme="minorHAnsi"/>
        </w:rPr>
      </w:pPr>
      <w:r w:rsidRPr="009E7760">
        <w:rPr>
          <w:rFonts w:asciiTheme="minorHAnsi" w:hAnsiTheme="minorHAnsi" w:cstheme="minorHAnsi"/>
        </w:rPr>
        <w:t>to support and sustain a robust, vibrant, independent and innovative Australian not-for-profit sector</w:t>
      </w:r>
      <w:r>
        <w:rPr>
          <w:rFonts w:asciiTheme="minorHAnsi" w:hAnsiTheme="minorHAnsi" w:cstheme="minorHAnsi"/>
        </w:rPr>
        <w:t>,</w:t>
      </w:r>
      <w:r w:rsidRPr="009E7760">
        <w:rPr>
          <w:rFonts w:asciiTheme="minorHAnsi" w:hAnsiTheme="minorHAnsi" w:cstheme="minorHAnsi"/>
        </w:rPr>
        <w:t xml:space="preserve"> and </w:t>
      </w:r>
    </w:p>
    <w:p w:rsidR="009E7760" w:rsidRPr="009E7760" w:rsidRDefault="009E7760" w:rsidP="00196C84">
      <w:pPr>
        <w:pStyle w:val="ListParagraph"/>
        <w:numPr>
          <w:ilvl w:val="0"/>
          <w:numId w:val="9"/>
        </w:numPr>
        <w:spacing w:before="120" w:after="120" w:line="240" w:lineRule="auto"/>
        <w:rPr>
          <w:rFonts w:asciiTheme="minorHAnsi" w:hAnsiTheme="minorHAnsi" w:cstheme="minorHAnsi"/>
        </w:rPr>
      </w:pPr>
      <w:r w:rsidRPr="009E7760">
        <w:rPr>
          <w:rFonts w:asciiTheme="minorHAnsi" w:hAnsiTheme="minorHAnsi" w:cstheme="minorHAnsi"/>
        </w:rPr>
        <w:t>to promote the reduction of unnecessary regulatory obligations on the Australian not-for-profit sector.</w:t>
      </w:r>
    </w:p>
    <w:p w:rsidR="00B6796B" w:rsidRPr="00F31004" w:rsidRDefault="009E7760" w:rsidP="0013671B">
      <w:pPr>
        <w:spacing w:before="120" w:after="120" w:line="240" w:lineRule="auto"/>
        <w:rPr>
          <w:rFonts w:asciiTheme="minorHAnsi" w:hAnsiTheme="minorHAnsi" w:cstheme="minorHAnsi"/>
        </w:rPr>
      </w:pPr>
      <w:r>
        <w:rPr>
          <w:rFonts w:asciiTheme="minorHAnsi" w:hAnsiTheme="minorHAnsi" w:cstheme="minorHAnsi"/>
        </w:rPr>
        <w:t xml:space="preserve">This Submission also </w:t>
      </w:r>
      <w:r w:rsidR="006C292D" w:rsidRPr="00F31004">
        <w:rPr>
          <w:rFonts w:asciiTheme="minorHAnsi" w:hAnsiTheme="minorHAnsi" w:cstheme="minorHAnsi"/>
        </w:rPr>
        <w:t>respond</w:t>
      </w:r>
      <w:r>
        <w:rPr>
          <w:rFonts w:asciiTheme="minorHAnsi" w:hAnsiTheme="minorHAnsi" w:cstheme="minorHAnsi"/>
        </w:rPr>
        <w:t>s</w:t>
      </w:r>
      <w:r w:rsidR="006C292D" w:rsidRPr="00F31004">
        <w:rPr>
          <w:rFonts w:asciiTheme="minorHAnsi" w:hAnsiTheme="minorHAnsi" w:cstheme="minorHAnsi"/>
        </w:rPr>
        <w:t xml:space="preserve"> to</w:t>
      </w:r>
      <w:r w:rsidR="00B6796B" w:rsidRPr="00F31004">
        <w:rPr>
          <w:rFonts w:asciiTheme="minorHAnsi" w:hAnsiTheme="minorHAnsi" w:cstheme="minorHAnsi"/>
        </w:rPr>
        <w:t xml:space="preserve"> </w:t>
      </w:r>
      <w:r>
        <w:rPr>
          <w:rFonts w:asciiTheme="minorHAnsi" w:hAnsiTheme="minorHAnsi" w:cstheme="minorHAnsi"/>
        </w:rPr>
        <w:t xml:space="preserve">the </w:t>
      </w:r>
      <w:r w:rsidR="003F65E7">
        <w:rPr>
          <w:rFonts w:asciiTheme="minorHAnsi" w:hAnsiTheme="minorHAnsi" w:cstheme="minorHAnsi"/>
        </w:rPr>
        <w:t xml:space="preserve">suggested </w:t>
      </w:r>
      <w:r w:rsidR="009024B2">
        <w:rPr>
          <w:rFonts w:asciiTheme="minorHAnsi" w:hAnsiTheme="minorHAnsi" w:cstheme="minorHAnsi"/>
        </w:rPr>
        <w:t>‘</w:t>
      </w:r>
      <w:r w:rsidR="00AA701A">
        <w:rPr>
          <w:rFonts w:asciiTheme="minorHAnsi" w:hAnsiTheme="minorHAnsi" w:cstheme="minorHAnsi"/>
        </w:rPr>
        <w:t>focus</w:t>
      </w:r>
      <w:r w:rsidR="003F65E7">
        <w:rPr>
          <w:rFonts w:asciiTheme="minorHAnsi" w:hAnsiTheme="minorHAnsi" w:cstheme="minorHAnsi"/>
        </w:rPr>
        <w:t>ing</w:t>
      </w:r>
      <w:r w:rsidR="00AA701A">
        <w:rPr>
          <w:rFonts w:asciiTheme="minorHAnsi" w:hAnsiTheme="minorHAnsi" w:cstheme="minorHAnsi"/>
        </w:rPr>
        <w:t xml:space="preserve"> questions</w:t>
      </w:r>
      <w:r w:rsidR="009024B2">
        <w:rPr>
          <w:rFonts w:asciiTheme="minorHAnsi" w:hAnsiTheme="minorHAnsi" w:cstheme="minorHAnsi"/>
        </w:rPr>
        <w:t>’</w:t>
      </w:r>
      <w:r w:rsidR="00AA701A">
        <w:rPr>
          <w:rFonts w:asciiTheme="minorHAnsi" w:hAnsiTheme="minorHAnsi" w:cstheme="minorHAnsi"/>
        </w:rPr>
        <w:t xml:space="preserve"> </w:t>
      </w:r>
      <w:r w:rsidR="003F65E7">
        <w:rPr>
          <w:rFonts w:asciiTheme="minorHAnsi" w:hAnsiTheme="minorHAnsi" w:cstheme="minorHAnsi"/>
        </w:rPr>
        <w:t xml:space="preserve">for submissions </w:t>
      </w:r>
      <w:r w:rsidR="00AA701A">
        <w:rPr>
          <w:rFonts w:asciiTheme="minorHAnsi" w:hAnsiTheme="minorHAnsi" w:cstheme="minorHAnsi"/>
        </w:rPr>
        <w:t>provided with the Review T</w:t>
      </w:r>
      <w:r w:rsidR="009024B2">
        <w:rPr>
          <w:rFonts w:asciiTheme="minorHAnsi" w:hAnsiTheme="minorHAnsi" w:cstheme="minorHAnsi"/>
        </w:rPr>
        <w:t>erms of Reference</w:t>
      </w:r>
      <w:r w:rsidR="003F65E7">
        <w:rPr>
          <w:rFonts w:asciiTheme="minorHAnsi" w:hAnsiTheme="minorHAnsi" w:cstheme="minorHAnsi"/>
        </w:rPr>
        <w:t xml:space="preserve"> (ToR)</w:t>
      </w:r>
      <w:r w:rsidR="009024B2">
        <w:rPr>
          <w:rFonts w:asciiTheme="minorHAnsi" w:hAnsiTheme="minorHAnsi" w:cstheme="minorHAnsi"/>
        </w:rPr>
        <w:t xml:space="preserve"> </w:t>
      </w:r>
      <w:r w:rsidR="00AA701A">
        <w:rPr>
          <w:rFonts w:asciiTheme="minorHAnsi" w:hAnsiTheme="minorHAnsi" w:cstheme="minorHAnsi"/>
        </w:rPr>
        <w:t xml:space="preserve">and </w:t>
      </w:r>
      <w:r w:rsidR="00197375">
        <w:rPr>
          <w:rFonts w:asciiTheme="minorHAnsi" w:hAnsiTheme="minorHAnsi" w:cstheme="minorHAnsi"/>
        </w:rPr>
        <w:t xml:space="preserve">addresses the </w:t>
      </w:r>
      <w:r>
        <w:rPr>
          <w:rFonts w:asciiTheme="minorHAnsi" w:hAnsiTheme="minorHAnsi" w:cstheme="minorHAnsi"/>
        </w:rPr>
        <w:t xml:space="preserve">paper prepared by the ACNC that sets out its views on the matters to be considered by the Review Panel.  </w:t>
      </w:r>
    </w:p>
    <w:p w:rsidR="00253999" w:rsidRPr="00F31004" w:rsidRDefault="00253999" w:rsidP="0013671B">
      <w:pPr>
        <w:spacing w:before="120" w:after="120" w:line="240" w:lineRule="auto"/>
        <w:rPr>
          <w:rFonts w:asciiTheme="minorHAnsi" w:hAnsiTheme="minorHAnsi" w:cstheme="minorHAnsi"/>
        </w:rPr>
      </w:pPr>
      <w:r w:rsidRPr="00F31004">
        <w:rPr>
          <w:rFonts w:asciiTheme="minorHAnsi" w:hAnsiTheme="minorHAnsi" w:cstheme="minorHAnsi"/>
        </w:rPr>
        <w:t xml:space="preserve">The Partnership’s key remit is to encourage greater levels of giving and social investment in Australia. </w:t>
      </w:r>
      <w:r w:rsidR="00D400DD" w:rsidRPr="00F31004">
        <w:rPr>
          <w:rFonts w:asciiTheme="minorHAnsi" w:hAnsiTheme="minorHAnsi" w:cstheme="minorHAnsi"/>
        </w:rPr>
        <w:t xml:space="preserve">A critical underpinning of </w:t>
      </w:r>
      <w:r w:rsidR="00223AC6" w:rsidRPr="00F31004">
        <w:rPr>
          <w:rFonts w:asciiTheme="minorHAnsi" w:hAnsiTheme="minorHAnsi" w:cstheme="minorHAnsi"/>
        </w:rPr>
        <w:t>a healthy philanthropic</w:t>
      </w:r>
      <w:r w:rsidR="00D400DD" w:rsidRPr="00F31004">
        <w:rPr>
          <w:rFonts w:asciiTheme="minorHAnsi" w:hAnsiTheme="minorHAnsi" w:cstheme="minorHAnsi"/>
        </w:rPr>
        <w:t xml:space="preserve"> culture i</w:t>
      </w:r>
      <w:r w:rsidR="00530501">
        <w:rPr>
          <w:rFonts w:asciiTheme="minorHAnsi" w:hAnsiTheme="minorHAnsi" w:cstheme="minorHAnsi"/>
        </w:rPr>
        <w:t>s</w:t>
      </w:r>
      <w:r w:rsidR="00D400DD" w:rsidRPr="00F31004">
        <w:rPr>
          <w:rFonts w:asciiTheme="minorHAnsi" w:hAnsiTheme="minorHAnsi" w:cstheme="minorHAnsi"/>
        </w:rPr>
        <w:t xml:space="preserve"> unarguabl</w:t>
      </w:r>
      <w:r w:rsidR="00223AC6" w:rsidRPr="00F31004">
        <w:rPr>
          <w:rFonts w:asciiTheme="minorHAnsi" w:hAnsiTheme="minorHAnsi" w:cstheme="minorHAnsi"/>
        </w:rPr>
        <w:t xml:space="preserve">y public trust and confidence in the charities and intermediaries </w:t>
      </w:r>
      <w:r w:rsidR="00EB68D5">
        <w:rPr>
          <w:rFonts w:asciiTheme="minorHAnsi" w:hAnsiTheme="minorHAnsi" w:cstheme="minorHAnsi"/>
        </w:rPr>
        <w:t>that manage and disperse charity monies</w:t>
      </w:r>
      <w:r w:rsidR="00223AC6" w:rsidRPr="00F31004">
        <w:rPr>
          <w:rFonts w:asciiTheme="minorHAnsi" w:hAnsiTheme="minorHAnsi" w:cstheme="minorHAnsi"/>
        </w:rPr>
        <w:t xml:space="preserve">, whether </w:t>
      </w:r>
      <w:r w:rsidR="00EB68D5">
        <w:rPr>
          <w:rFonts w:asciiTheme="minorHAnsi" w:hAnsiTheme="minorHAnsi" w:cstheme="minorHAnsi"/>
        </w:rPr>
        <w:t xml:space="preserve">received </w:t>
      </w:r>
      <w:r w:rsidR="00223AC6" w:rsidRPr="00F31004">
        <w:rPr>
          <w:rFonts w:asciiTheme="minorHAnsi" w:hAnsiTheme="minorHAnsi" w:cstheme="minorHAnsi"/>
        </w:rPr>
        <w:t>from corporate Australia, high</w:t>
      </w:r>
      <w:r w:rsidR="00835459" w:rsidRPr="00F31004">
        <w:rPr>
          <w:rFonts w:asciiTheme="minorHAnsi" w:hAnsiTheme="minorHAnsi" w:cstheme="minorHAnsi"/>
        </w:rPr>
        <w:t>-</w:t>
      </w:r>
      <w:r w:rsidR="00223AC6" w:rsidRPr="00F31004">
        <w:rPr>
          <w:rFonts w:asciiTheme="minorHAnsi" w:hAnsiTheme="minorHAnsi" w:cstheme="minorHAnsi"/>
        </w:rPr>
        <w:t>net</w:t>
      </w:r>
      <w:r w:rsidR="00835459" w:rsidRPr="00F31004">
        <w:rPr>
          <w:rFonts w:asciiTheme="minorHAnsi" w:hAnsiTheme="minorHAnsi" w:cstheme="minorHAnsi"/>
        </w:rPr>
        <w:t>-</w:t>
      </w:r>
      <w:r w:rsidR="00223AC6" w:rsidRPr="00F31004">
        <w:rPr>
          <w:rFonts w:asciiTheme="minorHAnsi" w:hAnsiTheme="minorHAnsi" w:cstheme="minorHAnsi"/>
        </w:rPr>
        <w:t>worth individuals or average Australian</w:t>
      </w:r>
      <w:r w:rsidR="009024B2">
        <w:rPr>
          <w:rFonts w:asciiTheme="minorHAnsi" w:hAnsiTheme="minorHAnsi" w:cstheme="minorHAnsi"/>
        </w:rPr>
        <w:t xml:space="preserve"> givers</w:t>
      </w:r>
      <w:r w:rsidR="00490CFD">
        <w:rPr>
          <w:rFonts w:asciiTheme="minorHAnsi" w:hAnsiTheme="minorHAnsi" w:cstheme="minorHAnsi"/>
        </w:rPr>
        <w:t>.</w:t>
      </w:r>
    </w:p>
    <w:p w:rsidR="007A3778" w:rsidRPr="00F31004" w:rsidRDefault="00B6796B" w:rsidP="0013671B">
      <w:pPr>
        <w:spacing w:before="120" w:after="120" w:line="240" w:lineRule="auto"/>
        <w:rPr>
          <w:rFonts w:asciiTheme="minorHAnsi" w:hAnsiTheme="minorHAnsi" w:cstheme="minorHAnsi"/>
        </w:rPr>
      </w:pPr>
      <w:r w:rsidRPr="00F31004">
        <w:rPr>
          <w:rFonts w:asciiTheme="minorHAnsi" w:hAnsiTheme="minorHAnsi" w:cstheme="minorHAnsi"/>
        </w:rPr>
        <w:t xml:space="preserve">In </w:t>
      </w:r>
      <w:r w:rsidR="0041690F" w:rsidRPr="00F31004">
        <w:rPr>
          <w:rFonts w:asciiTheme="minorHAnsi" w:hAnsiTheme="minorHAnsi" w:cstheme="minorHAnsi"/>
        </w:rPr>
        <w:t xml:space="preserve">developing its views, </w:t>
      </w:r>
      <w:r w:rsidRPr="00F31004">
        <w:rPr>
          <w:rFonts w:asciiTheme="minorHAnsi" w:hAnsiTheme="minorHAnsi" w:cstheme="minorHAnsi"/>
        </w:rPr>
        <w:t xml:space="preserve">the Partnership </w:t>
      </w:r>
      <w:r w:rsidR="00CC00DB" w:rsidRPr="00F31004">
        <w:rPr>
          <w:rFonts w:asciiTheme="minorHAnsi" w:hAnsiTheme="minorHAnsi" w:cstheme="minorHAnsi"/>
        </w:rPr>
        <w:t xml:space="preserve">has </w:t>
      </w:r>
      <w:r w:rsidR="006C292D" w:rsidRPr="00F31004">
        <w:rPr>
          <w:rFonts w:asciiTheme="minorHAnsi" w:hAnsiTheme="minorHAnsi" w:cstheme="minorHAnsi"/>
        </w:rPr>
        <w:t>considered</w:t>
      </w:r>
      <w:r w:rsidR="007A3778" w:rsidRPr="00F31004">
        <w:rPr>
          <w:rFonts w:asciiTheme="minorHAnsi" w:hAnsiTheme="minorHAnsi" w:cstheme="minorHAnsi"/>
        </w:rPr>
        <w:t>:</w:t>
      </w:r>
    </w:p>
    <w:p w:rsidR="00011BD6" w:rsidRPr="00F31004" w:rsidRDefault="007A3778" w:rsidP="00196C84">
      <w:pPr>
        <w:pStyle w:val="ListParagraph"/>
        <w:numPr>
          <w:ilvl w:val="0"/>
          <w:numId w:val="6"/>
        </w:numPr>
        <w:spacing w:before="120" w:after="120" w:line="240" w:lineRule="auto"/>
        <w:rPr>
          <w:rFonts w:asciiTheme="minorHAnsi" w:hAnsiTheme="minorHAnsi" w:cstheme="minorHAnsi"/>
        </w:rPr>
      </w:pPr>
      <w:r w:rsidRPr="00F31004">
        <w:rPr>
          <w:rFonts w:asciiTheme="minorHAnsi" w:hAnsiTheme="minorHAnsi" w:cstheme="minorHAnsi"/>
        </w:rPr>
        <w:t xml:space="preserve">the appropriate role </w:t>
      </w:r>
      <w:r w:rsidR="00011BD6" w:rsidRPr="00F31004">
        <w:rPr>
          <w:rFonts w:asciiTheme="minorHAnsi" w:hAnsiTheme="minorHAnsi" w:cstheme="minorHAnsi"/>
        </w:rPr>
        <w:t xml:space="preserve">for </w:t>
      </w:r>
      <w:r w:rsidR="006C292D" w:rsidRPr="00F31004">
        <w:rPr>
          <w:rFonts w:asciiTheme="minorHAnsi" w:hAnsiTheme="minorHAnsi" w:cstheme="minorHAnsi"/>
        </w:rPr>
        <w:t>G</w:t>
      </w:r>
      <w:r w:rsidRPr="00F31004">
        <w:rPr>
          <w:rFonts w:asciiTheme="minorHAnsi" w:hAnsiTheme="minorHAnsi" w:cstheme="minorHAnsi"/>
        </w:rPr>
        <w:t>overnment</w:t>
      </w:r>
      <w:r w:rsidR="006C292D" w:rsidRPr="00F31004">
        <w:rPr>
          <w:rFonts w:asciiTheme="minorHAnsi" w:hAnsiTheme="minorHAnsi" w:cstheme="minorHAnsi"/>
        </w:rPr>
        <w:t xml:space="preserve"> </w:t>
      </w:r>
    </w:p>
    <w:p w:rsidR="007A3778" w:rsidRPr="00F31004" w:rsidRDefault="00011BD6" w:rsidP="00196C84">
      <w:pPr>
        <w:pStyle w:val="ListParagraph"/>
        <w:numPr>
          <w:ilvl w:val="0"/>
          <w:numId w:val="6"/>
        </w:numPr>
        <w:spacing w:before="120" w:after="120" w:line="240" w:lineRule="auto"/>
        <w:rPr>
          <w:rFonts w:asciiTheme="minorHAnsi" w:hAnsiTheme="minorHAnsi" w:cstheme="minorHAnsi"/>
        </w:rPr>
      </w:pPr>
      <w:r w:rsidRPr="00F31004">
        <w:rPr>
          <w:rFonts w:asciiTheme="minorHAnsi" w:hAnsiTheme="minorHAnsi" w:cstheme="minorHAnsi"/>
        </w:rPr>
        <w:t xml:space="preserve">the </w:t>
      </w:r>
      <w:r w:rsidR="0041690F" w:rsidRPr="00F31004">
        <w:rPr>
          <w:rFonts w:asciiTheme="minorHAnsi" w:hAnsiTheme="minorHAnsi" w:cstheme="minorHAnsi"/>
        </w:rPr>
        <w:t xml:space="preserve">desirability of </w:t>
      </w:r>
      <w:r w:rsidR="007A3778" w:rsidRPr="00F31004">
        <w:rPr>
          <w:rFonts w:asciiTheme="minorHAnsi" w:hAnsiTheme="minorHAnsi" w:cstheme="minorHAnsi"/>
        </w:rPr>
        <w:t xml:space="preserve">the sector </w:t>
      </w:r>
      <w:r w:rsidR="0041690F" w:rsidRPr="00F31004">
        <w:rPr>
          <w:rFonts w:asciiTheme="minorHAnsi" w:hAnsiTheme="minorHAnsi" w:cstheme="minorHAnsi"/>
        </w:rPr>
        <w:t>being empowered to d</w:t>
      </w:r>
      <w:r w:rsidRPr="00F31004">
        <w:rPr>
          <w:rFonts w:asciiTheme="minorHAnsi" w:hAnsiTheme="minorHAnsi" w:cstheme="minorHAnsi"/>
        </w:rPr>
        <w:t>etermine its own future, build its capability</w:t>
      </w:r>
      <w:r w:rsidR="00EB68D5">
        <w:rPr>
          <w:rFonts w:asciiTheme="minorHAnsi" w:hAnsiTheme="minorHAnsi" w:cstheme="minorHAnsi"/>
        </w:rPr>
        <w:t>, effectively manage its resources</w:t>
      </w:r>
      <w:r w:rsidRPr="00F31004">
        <w:rPr>
          <w:rFonts w:asciiTheme="minorHAnsi" w:hAnsiTheme="minorHAnsi" w:cstheme="minorHAnsi"/>
        </w:rPr>
        <w:t xml:space="preserve"> and drive innovation</w:t>
      </w:r>
    </w:p>
    <w:p w:rsidR="007A3778" w:rsidRPr="00F31004" w:rsidRDefault="00B6796B" w:rsidP="00196C84">
      <w:pPr>
        <w:pStyle w:val="ListParagraph"/>
        <w:numPr>
          <w:ilvl w:val="0"/>
          <w:numId w:val="6"/>
        </w:numPr>
        <w:spacing w:before="120" w:after="120" w:line="240" w:lineRule="auto"/>
        <w:rPr>
          <w:rFonts w:asciiTheme="minorHAnsi" w:hAnsiTheme="minorHAnsi" w:cstheme="minorHAnsi"/>
        </w:rPr>
      </w:pPr>
      <w:r w:rsidRPr="00F31004">
        <w:rPr>
          <w:rFonts w:asciiTheme="minorHAnsi" w:hAnsiTheme="minorHAnsi" w:cstheme="minorHAnsi"/>
        </w:rPr>
        <w:t xml:space="preserve">the competing priorities inherent in the three objects.  For example, tensions can exist between enforcing a regulatory framework to underpin public trust and confidence in the sector while still </w:t>
      </w:r>
      <w:r w:rsidR="007A3778" w:rsidRPr="00F31004">
        <w:rPr>
          <w:rFonts w:asciiTheme="minorHAnsi" w:hAnsiTheme="minorHAnsi" w:cstheme="minorHAnsi"/>
        </w:rPr>
        <w:t>supporting</w:t>
      </w:r>
      <w:r w:rsidRPr="00F31004">
        <w:rPr>
          <w:rFonts w:asciiTheme="minorHAnsi" w:hAnsiTheme="minorHAnsi" w:cstheme="minorHAnsi"/>
        </w:rPr>
        <w:t xml:space="preserve"> the sector to be flexible, independent and innovative in its operations</w:t>
      </w:r>
      <w:r w:rsidR="006C292D" w:rsidRPr="00F31004">
        <w:rPr>
          <w:rFonts w:asciiTheme="minorHAnsi" w:hAnsiTheme="minorHAnsi" w:cstheme="minorHAnsi"/>
        </w:rPr>
        <w:t>, and</w:t>
      </w:r>
      <w:r w:rsidRPr="00F31004">
        <w:rPr>
          <w:rFonts w:asciiTheme="minorHAnsi" w:hAnsiTheme="minorHAnsi" w:cstheme="minorHAnsi"/>
        </w:rPr>
        <w:t xml:space="preserve"> </w:t>
      </w:r>
    </w:p>
    <w:p w:rsidR="00B6796B" w:rsidRPr="00F31004" w:rsidRDefault="00011BD6" w:rsidP="00196C84">
      <w:pPr>
        <w:pStyle w:val="ListParagraph"/>
        <w:numPr>
          <w:ilvl w:val="0"/>
          <w:numId w:val="6"/>
        </w:numPr>
        <w:spacing w:before="120" w:after="120" w:line="240" w:lineRule="auto"/>
        <w:rPr>
          <w:rFonts w:asciiTheme="minorHAnsi" w:hAnsiTheme="minorHAnsi" w:cstheme="minorHAnsi"/>
        </w:rPr>
      </w:pPr>
      <w:r w:rsidRPr="00F31004">
        <w:rPr>
          <w:rFonts w:asciiTheme="minorHAnsi" w:hAnsiTheme="minorHAnsi" w:cstheme="minorHAnsi"/>
        </w:rPr>
        <w:t xml:space="preserve">the risk that </w:t>
      </w:r>
      <w:r w:rsidR="007A3778" w:rsidRPr="00F31004">
        <w:rPr>
          <w:rFonts w:asciiTheme="minorHAnsi" w:hAnsiTheme="minorHAnsi" w:cstheme="minorHAnsi"/>
        </w:rPr>
        <w:t>i</w:t>
      </w:r>
      <w:r w:rsidR="0041690F" w:rsidRPr="00F31004">
        <w:rPr>
          <w:rFonts w:asciiTheme="minorHAnsi" w:hAnsiTheme="minorHAnsi" w:cstheme="minorHAnsi"/>
        </w:rPr>
        <w:t xml:space="preserve">ncreased regulation </w:t>
      </w:r>
      <w:r w:rsidRPr="00F31004">
        <w:rPr>
          <w:rFonts w:asciiTheme="minorHAnsi" w:hAnsiTheme="minorHAnsi" w:cstheme="minorHAnsi"/>
        </w:rPr>
        <w:t>could</w:t>
      </w:r>
      <w:r w:rsidR="00B6796B" w:rsidRPr="00F31004">
        <w:rPr>
          <w:rFonts w:asciiTheme="minorHAnsi" w:hAnsiTheme="minorHAnsi" w:cstheme="minorHAnsi"/>
        </w:rPr>
        <w:t xml:space="preserve"> </w:t>
      </w:r>
      <w:r w:rsidRPr="00F31004">
        <w:rPr>
          <w:rFonts w:asciiTheme="minorHAnsi" w:hAnsiTheme="minorHAnsi" w:cstheme="minorHAnsi"/>
        </w:rPr>
        <w:t>have unintended negativ</w:t>
      </w:r>
      <w:r w:rsidR="00C20186" w:rsidRPr="00F31004">
        <w:rPr>
          <w:rFonts w:asciiTheme="minorHAnsi" w:hAnsiTheme="minorHAnsi" w:cstheme="minorHAnsi"/>
        </w:rPr>
        <w:t>e consequences</w:t>
      </w:r>
      <w:r w:rsidR="00EB68D5">
        <w:rPr>
          <w:rFonts w:asciiTheme="minorHAnsi" w:hAnsiTheme="minorHAnsi" w:cstheme="minorHAnsi"/>
        </w:rPr>
        <w:t>,</w:t>
      </w:r>
      <w:r w:rsidR="00C20186" w:rsidRPr="00F31004">
        <w:rPr>
          <w:rFonts w:asciiTheme="minorHAnsi" w:hAnsiTheme="minorHAnsi" w:cstheme="minorHAnsi"/>
        </w:rPr>
        <w:t xml:space="preserve"> for example in</w:t>
      </w:r>
      <w:r w:rsidRPr="00F31004">
        <w:rPr>
          <w:rFonts w:asciiTheme="minorHAnsi" w:hAnsiTheme="minorHAnsi" w:cstheme="minorHAnsi"/>
        </w:rPr>
        <w:t xml:space="preserve"> impinging on the </w:t>
      </w:r>
      <w:r w:rsidR="00B6796B" w:rsidRPr="00F31004">
        <w:rPr>
          <w:rFonts w:asciiTheme="minorHAnsi" w:hAnsiTheme="minorHAnsi" w:cstheme="minorHAnsi"/>
        </w:rPr>
        <w:t>sector</w:t>
      </w:r>
      <w:r w:rsidR="00C20186" w:rsidRPr="00F31004">
        <w:rPr>
          <w:rFonts w:asciiTheme="minorHAnsi" w:hAnsiTheme="minorHAnsi" w:cstheme="minorHAnsi"/>
        </w:rPr>
        <w:t>’s</w:t>
      </w:r>
      <w:r w:rsidR="00B6796B" w:rsidRPr="00F31004">
        <w:rPr>
          <w:rFonts w:asciiTheme="minorHAnsi" w:hAnsiTheme="minorHAnsi" w:cstheme="minorHAnsi"/>
        </w:rPr>
        <w:t xml:space="preserve"> </w:t>
      </w:r>
      <w:r w:rsidRPr="00F31004">
        <w:rPr>
          <w:rFonts w:asciiTheme="minorHAnsi" w:hAnsiTheme="minorHAnsi" w:cstheme="minorHAnsi"/>
        </w:rPr>
        <w:t xml:space="preserve">ability to </w:t>
      </w:r>
      <w:r w:rsidR="00B6796B" w:rsidRPr="00F31004">
        <w:rPr>
          <w:rFonts w:asciiTheme="minorHAnsi" w:hAnsiTheme="minorHAnsi" w:cstheme="minorHAnsi"/>
        </w:rPr>
        <w:t>deliver</w:t>
      </w:r>
      <w:r w:rsidRPr="00F31004">
        <w:rPr>
          <w:rFonts w:asciiTheme="minorHAnsi" w:hAnsiTheme="minorHAnsi" w:cstheme="minorHAnsi"/>
        </w:rPr>
        <w:t xml:space="preserve"> a </w:t>
      </w:r>
      <w:r w:rsidR="00B6796B" w:rsidRPr="00F31004">
        <w:rPr>
          <w:rFonts w:asciiTheme="minorHAnsi" w:hAnsiTheme="minorHAnsi" w:cstheme="minorHAnsi"/>
        </w:rPr>
        <w:t xml:space="preserve">diverse and complex </w:t>
      </w:r>
      <w:r w:rsidRPr="00F31004">
        <w:rPr>
          <w:rFonts w:asciiTheme="minorHAnsi" w:hAnsiTheme="minorHAnsi" w:cstheme="minorHAnsi"/>
        </w:rPr>
        <w:t>array of services</w:t>
      </w:r>
      <w:r w:rsidR="00B6796B" w:rsidRPr="00F31004">
        <w:rPr>
          <w:rFonts w:asciiTheme="minorHAnsi" w:hAnsiTheme="minorHAnsi" w:cstheme="minorHAnsi"/>
        </w:rPr>
        <w:t>.</w:t>
      </w:r>
    </w:p>
    <w:p w:rsidR="00240E43" w:rsidRDefault="00AA701A" w:rsidP="00BA7106">
      <w:pPr>
        <w:spacing w:before="120" w:after="240" w:line="240" w:lineRule="auto"/>
        <w:rPr>
          <w:rFonts w:asciiTheme="minorHAnsi" w:hAnsiTheme="minorHAnsi" w:cstheme="minorHAnsi"/>
        </w:rPr>
      </w:pPr>
      <w:r>
        <w:rPr>
          <w:rFonts w:asciiTheme="minorHAnsi" w:hAnsiTheme="minorHAnsi" w:cstheme="minorHAnsi"/>
        </w:rPr>
        <w:t>In developing its submission, t</w:t>
      </w:r>
      <w:r w:rsidR="008B511C" w:rsidRPr="00F31004">
        <w:rPr>
          <w:rFonts w:asciiTheme="minorHAnsi" w:hAnsiTheme="minorHAnsi" w:cstheme="minorHAnsi"/>
        </w:rPr>
        <w:t xml:space="preserve">he </w:t>
      </w:r>
      <w:r w:rsidR="00240E43" w:rsidRPr="00F31004">
        <w:rPr>
          <w:rFonts w:asciiTheme="minorHAnsi" w:hAnsiTheme="minorHAnsi" w:cstheme="minorHAnsi"/>
        </w:rPr>
        <w:t>Partnership ha</w:t>
      </w:r>
      <w:r w:rsidR="006C292D" w:rsidRPr="00F31004">
        <w:rPr>
          <w:rFonts w:asciiTheme="minorHAnsi" w:hAnsiTheme="minorHAnsi" w:cstheme="minorHAnsi"/>
        </w:rPr>
        <w:t>s</w:t>
      </w:r>
      <w:r>
        <w:rPr>
          <w:rFonts w:asciiTheme="minorHAnsi" w:hAnsiTheme="minorHAnsi" w:cstheme="minorHAnsi"/>
        </w:rPr>
        <w:t xml:space="preserve"> drawn on </w:t>
      </w:r>
      <w:r w:rsidR="00CC00DB" w:rsidRPr="00F31004">
        <w:rPr>
          <w:rFonts w:asciiTheme="minorHAnsi" w:hAnsiTheme="minorHAnsi" w:cstheme="minorHAnsi"/>
        </w:rPr>
        <w:t xml:space="preserve">research </w:t>
      </w:r>
      <w:r w:rsidR="00240E43" w:rsidRPr="00F31004">
        <w:rPr>
          <w:rFonts w:asciiTheme="minorHAnsi" w:hAnsiTheme="minorHAnsi" w:cstheme="minorHAnsi"/>
        </w:rPr>
        <w:t xml:space="preserve">and </w:t>
      </w:r>
      <w:r>
        <w:rPr>
          <w:rFonts w:asciiTheme="minorHAnsi" w:hAnsiTheme="minorHAnsi" w:cstheme="minorHAnsi"/>
        </w:rPr>
        <w:t>listened to the views of a</w:t>
      </w:r>
      <w:r w:rsidR="00240E43" w:rsidRPr="00F31004">
        <w:rPr>
          <w:rFonts w:asciiTheme="minorHAnsi" w:hAnsiTheme="minorHAnsi" w:cstheme="minorHAnsi"/>
        </w:rPr>
        <w:t xml:space="preserve"> wide range of government and sector stakeholders, pra</w:t>
      </w:r>
      <w:r>
        <w:rPr>
          <w:rFonts w:asciiTheme="minorHAnsi" w:hAnsiTheme="minorHAnsi" w:cstheme="minorHAnsi"/>
        </w:rPr>
        <w:t>ctitioners, leaders and experts</w:t>
      </w:r>
      <w:r w:rsidR="002640B2">
        <w:rPr>
          <w:rFonts w:asciiTheme="minorHAnsi" w:hAnsiTheme="minorHAnsi" w:cstheme="minorHAnsi"/>
        </w:rPr>
        <w:t>,</w:t>
      </w:r>
      <w:r>
        <w:rPr>
          <w:rFonts w:asciiTheme="minorHAnsi" w:hAnsiTheme="minorHAnsi" w:cstheme="minorHAnsi"/>
        </w:rPr>
        <w:t xml:space="preserve"> in particular about the</w:t>
      </w:r>
      <w:r w:rsidR="00240E43" w:rsidRPr="00F31004">
        <w:rPr>
          <w:rFonts w:asciiTheme="minorHAnsi" w:hAnsiTheme="minorHAnsi" w:cstheme="minorHAnsi"/>
        </w:rPr>
        <w:t xml:space="preserve"> obstacles </w:t>
      </w:r>
      <w:r>
        <w:rPr>
          <w:rFonts w:asciiTheme="minorHAnsi" w:hAnsiTheme="minorHAnsi" w:cstheme="minorHAnsi"/>
        </w:rPr>
        <w:t xml:space="preserve">and enablers of </w:t>
      </w:r>
      <w:r w:rsidR="00240E43" w:rsidRPr="00F31004">
        <w:rPr>
          <w:rFonts w:asciiTheme="minorHAnsi" w:hAnsiTheme="minorHAnsi" w:cstheme="minorHAnsi"/>
        </w:rPr>
        <w:t>giving and volunteering</w:t>
      </w:r>
      <w:r w:rsidR="008B511C" w:rsidRPr="00F31004">
        <w:rPr>
          <w:rFonts w:asciiTheme="minorHAnsi" w:hAnsiTheme="minorHAnsi" w:cstheme="minorHAnsi"/>
        </w:rPr>
        <w:t xml:space="preserve">. </w:t>
      </w:r>
    </w:p>
    <w:tbl>
      <w:tblPr>
        <w:tblStyle w:val="TableGrid"/>
        <w:tblW w:w="0" w:type="auto"/>
        <w:shd w:val="clear" w:color="auto" w:fill="C6D9F1" w:themeFill="text2" w:themeFillTint="33"/>
        <w:tblLook w:val="04A0" w:firstRow="1" w:lastRow="0" w:firstColumn="1" w:lastColumn="0" w:noHBand="0" w:noVBand="1"/>
        <w:tblDescription w:val="ToR focusing questions:"/>
      </w:tblPr>
      <w:tblGrid>
        <w:gridCol w:w="9117"/>
      </w:tblGrid>
      <w:tr w:rsidR="003F65E7" w:rsidTr="00B72FB0">
        <w:trPr>
          <w:tblHeader/>
        </w:trPr>
        <w:tc>
          <w:tcPr>
            <w:tcW w:w="9322" w:type="dxa"/>
            <w:shd w:val="clear" w:color="auto" w:fill="C6D9F1" w:themeFill="text2" w:themeFillTint="33"/>
          </w:tcPr>
          <w:p w:rsidR="003F65E7" w:rsidRPr="005D1C97" w:rsidRDefault="003F65E7" w:rsidP="00BA7106">
            <w:pPr>
              <w:spacing w:before="120" w:after="120"/>
              <w:rPr>
                <w:rFonts w:asciiTheme="minorHAnsi" w:hAnsiTheme="minorHAnsi" w:cstheme="minorHAnsi"/>
                <w:b/>
              </w:rPr>
            </w:pPr>
            <w:r w:rsidRPr="005D1C97">
              <w:rPr>
                <w:rFonts w:asciiTheme="minorHAnsi" w:hAnsiTheme="minorHAnsi" w:cstheme="minorHAnsi"/>
                <w:b/>
              </w:rPr>
              <w:t>ToR focusing questions:</w:t>
            </w:r>
          </w:p>
          <w:p w:rsidR="003F65E7" w:rsidRPr="005D1C97" w:rsidRDefault="003F65E7" w:rsidP="00196C84">
            <w:pPr>
              <w:numPr>
                <w:ilvl w:val="0"/>
                <w:numId w:val="15"/>
              </w:numPr>
              <w:spacing w:before="120" w:after="120"/>
              <w:rPr>
                <w:rFonts w:asciiTheme="minorHAnsi" w:hAnsiTheme="minorHAnsi" w:cstheme="minorHAnsi"/>
                <w:b/>
              </w:rPr>
            </w:pPr>
            <w:r w:rsidRPr="005D1C97">
              <w:rPr>
                <w:rFonts w:asciiTheme="minorHAnsi" w:hAnsiTheme="minorHAnsi" w:cstheme="minorHAnsi"/>
                <w:b/>
              </w:rPr>
              <w:t>Are the objects of the ACNC Act still contemporary?</w:t>
            </w:r>
          </w:p>
          <w:p w:rsidR="003F65E7" w:rsidRDefault="003F65E7" w:rsidP="00196C84">
            <w:pPr>
              <w:numPr>
                <w:ilvl w:val="0"/>
                <w:numId w:val="15"/>
              </w:numPr>
              <w:spacing w:before="120" w:after="240"/>
              <w:rPr>
                <w:rFonts w:asciiTheme="minorHAnsi" w:hAnsiTheme="minorHAnsi" w:cstheme="minorHAnsi"/>
              </w:rPr>
            </w:pPr>
            <w:r w:rsidRPr="005D1C97">
              <w:rPr>
                <w:rFonts w:asciiTheme="minorHAnsi" w:hAnsiTheme="minorHAnsi" w:cstheme="minorHAnsi"/>
                <w:b/>
              </w:rPr>
              <w:t>Has the ACNC legislation and efforts of the ACNC over the first five years struck the right balance between supporting charities to do the right thing and deterring or dealing with misconduct?</w:t>
            </w:r>
            <w:r>
              <w:rPr>
                <w:rFonts w:asciiTheme="minorHAnsi" w:hAnsiTheme="minorHAnsi" w:cstheme="minorHAnsi"/>
                <w:b/>
              </w:rPr>
              <w:t xml:space="preserve">   </w:t>
            </w:r>
          </w:p>
        </w:tc>
      </w:tr>
    </w:tbl>
    <w:p w:rsidR="00BD7B5D" w:rsidRPr="001207E0" w:rsidRDefault="00377F6C" w:rsidP="008215B4">
      <w:pPr>
        <w:spacing w:before="240" w:after="120" w:line="240" w:lineRule="auto"/>
        <w:rPr>
          <w:rFonts w:asciiTheme="minorHAnsi" w:hAnsiTheme="minorHAnsi" w:cstheme="minorHAnsi"/>
          <w:b/>
          <w:i/>
        </w:rPr>
      </w:pPr>
      <w:r w:rsidRPr="001207E0">
        <w:rPr>
          <w:rFonts w:asciiTheme="minorHAnsi" w:hAnsiTheme="minorHAnsi" w:cstheme="minorHAnsi"/>
          <w:b/>
          <w:i/>
        </w:rPr>
        <w:t xml:space="preserve">1.1 </w:t>
      </w:r>
      <w:r w:rsidR="00D618E9" w:rsidRPr="001207E0">
        <w:rPr>
          <w:rFonts w:asciiTheme="minorHAnsi" w:hAnsiTheme="minorHAnsi" w:cstheme="minorHAnsi"/>
          <w:b/>
          <w:i/>
        </w:rPr>
        <w:t>Understand</w:t>
      </w:r>
      <w:r w:rsidR="006C068A" w:rsidRPr="001207E0">
        <w:rPr>
          <w:rFonts w:asciiTheme="minorHAnsi" w:hAnsiTheme="minorHAnsi" w:cstheme="minorHAnsi"/>
          <w:b/>
          <w:i/>
        </w:rPr>
        <w:t>ing</w:t>
      </w:r>
      <w:r w:rsidR="00D618E9" w:rsidRPr="001207E0">
        <w:rPr>
          <w:rFonts w:asciiTheme="minorHAnsi" w:hAnsiTheme="minorHAnsi" w:cstheme="minorHAnsi"/>
          <w:b/>
          <w:i/>
        </w:rPr>
        <w:t xml:space="preserve"> </w:t>
      </w:r>
      <w:r w:rsidR="006C068A" w:rsidRPr="001207E0">
        <w:rPr>
          <w:rFonts w:asciiTheme="minorHAnsi" w:hAnsiTheme="minorHAnsi" w:cstheme="minorHAnsi"/>
          <w:b/>
          <w:i/>
        </w:rPr>
        <w:t xml:space="preserve">charities and </w:t>
      </w:r>
      <w:r w:rsidR="00BD7B5D" w:rsidRPr="001207E0">
        <w:rPr>
          <w:rFonts w:asciiTheme="minorHAnsi" w:hAnsiTheme="minorHAnsi" w:cstheme="minorHAnsi"/>
          <w:b/>
          <w:i/>
        </w:rPr>
        <w:t>philanthropic giving and volunteering</w:t>
      </w:r>
      <w:r w:rsidR="006C068A" w:rsidRPr="001207E0">
        <w:rPr>
          <w:rFonts w:asciiTheme="minorHAnsi" w:hAnsiTheme="minorHAnsi" w:cstheme="minorHAnsi"/>
          <w:b/>
          <w:i/>
        </w:rPr>
        <w:t xml:space="preserve"> in Australia</w:t>
      </w:r>
    </w:p>
    <w:p w:rsidR="00D618E9" w:rsidRPr="001207E0" w:rsidRDefault="00D618E9" w:rsidP="00D618E9">
      <w:pPr>
        <w:spacing w:before="240" w:after="120" w:line="240" w:lineRule="auto"/>
        <w:rPr>
          <w:rFonts w:asciiTheme="minorHAnsi" w:hAnsiTheme="minorHAnsi" w:cstheme="minorHAnsi"/>
        </w:rPr>
      </w:pPr>
      <w:r w:rsidRPr="001207E0">
        <w:rPr>
          <w:rFonts w:asciiTheme="minorHAnsi" w:hAnsiTheme="minorHAnsi" w:cstheme="minorHAnsi"/>
        </w:rPr>
        <w:t xml:space="preserve">Australia is well served by its vibrant charity sector. Competitive and innovative charities benefit the community and the economy in the same way that competitive and innovative businesses benefit consumers.  Charities exist to benefit the community. They form under the principles and precedent set out in four centuries of charity law and with a right to freedom of association.  </w:t>
      </w:r>
    </w:p>
    <w:p w:rsidR="00D618E9" w:rsidRPr="001207E0" w:rsidRDefault="00D618E9" w:rsidP="00D618E9">
      <w:pPr>
        <w:spacing w:before="240" w:after="120" w:line="240" w:lineRule="auto"/>
        <w:rPr>
          <w:rFonts w:asciiTheme="minorHAnsi" w:hAnsiTheme="minorHAnsi" w:cstheme="minorHAnsi"/>
        </w:rPr>
      </w:pPr>
      <w:r w:rsidRPr="001207E0">
        <w:rPr>
          <w:rFonts w:asciiTheme="minorHAnsi" w:hAnsiTheme="minorHAnsi" w:cstheme="minorHAnsi"/>
        </w:rPr>
        <w:t xml:space="preserve">Australian charities deliver </w:t>
      </w:r>
      <w:r w:rsidR="002D4DCC" w:rsidRPr="001207E0">
        <w:rPr>
          <w:rFonts w:asciiTheme="minorHAnsi" w:hAnsiTheme="minorHAnsi" w:cstheme="minorHAnsi"/>
        </w:rPr>
        <w:t>wide-ranging</w:t>
      </w:r>
      <w:r w:rsidRPr="001207E0">
        <w:rPr>
          <w:rFonts w:asciiTheme="minorHAnsi" w:hAnsiTheme="minorHAnsi" w:cstheme="minorHAnsi"/>
        </w:rPr>
        <w:t xml:space="preserve"> services both here and abroad. They enhance the fabric of our society and their work </w:t>
      </w:r>
      <w:r w:rsidR="000A3296">
        <w:rPr>
          <w:rFonts w:asciiTheme="minorHAnsi" w:hAnsiTheme="minorHAnsi" w:cstheme="minorHAnsi"/>
        </w:rPr>
        <w:t xml:space="preserve">addresses gaps and unmet needs of many in society.  </w:t>
      </w:r>
      <w:r w:rsidRPr="001207E0">
        <w:rPr>
          <w:rFonts w:asciiTheme="minorHAnsi" w:hAnsiTheme="minorHAnsi" w:cstheme="minorHAnsi"/>
        </w:rPr>
        <w:t xml:space="preserve">The </w:t>
      </w:r>
      <w:r w:rsidR="000A3296">
        <w:rPr>
          <w:rFonts w:asciiTheme="minorHAnsi" w:hAnsiTheme="minorHAnsi" w:cstheme="minorHAnsi"/>
        </w:rPr>
        <w:t xml:space="preserve">charity </w:t>
      </w:r>
      <w:r w:rsidRPr="001207E0">
        <w:rPr>
          <w:rFonts w:asciiTheme="minorHAnsi" w:hAnsiTheme="minorHAnsi" w:cstheme="minorHAnsi"/>
        </w:rPr>
        <w:t xml:space="preserve">sector is </w:t>
      </w:r>
      <w:r w:rsidR="000A3296">
        <w:rPr>
          <w:rFonts w:asciiTheme="minorHAnsi" w:hAnsiTheme="minorHAnsi" w:cstheme="minorHAnsi"/>
        </w:rPr>
        <w:t xml:space="preserve">ingrained in </w:t>
      </w:r>
      <w:r w:rsidRPr="001207E0">
        <w:rPr>
          <w:rFonts w:asciiTheme="minorHAnsi" w:hAnsiTheme="minorHAnsi" w:cstheme="minorHAnsi"/>
        </w:rPr>
        <w:t xml:space="preserve">our culture, economy and society.  A vibrant and competitive sector is not afraid to take prudent risks </w:t>
      </w:r>
      <w:r w:rsidR="000A3296">
        <w:rPr>
          <w:rFonts w:asciiTheme="minorHAnsi" w:hAnsiTheme="minorHAnsi" w:cstheme="minorHAnsi"/>
        </w:rPr>
        <w:t xml:space="preserve">that </w:t>
      </w:r>
      <w:r w:rsidRPr="001207E0">
        <w:rPr>
          <w:rFonts w:asciiTheme="minorHAnsi" w:hAnsiTheme="minorHAnsi" w:cstheme="minorHAnsi"/>
        </w:rPr>
        <w:t xml:space="preserve">is good for charities and good for the </w:t>
      </w:r>
      <w:r w:rsidR="000A3296">
        <w:rPr>
          <w:rFonts w:asciiTheme="minorHAnsi" w:hAnsiTheme="minorHAnsi" w:cstheme="minorHAnsi"/>
        </w:rPr>
        <w:t xml:space="preserve">communities in which they operate.  </w:t>
      </w:r>
    </w:p>
    <w:p w:rsidR="00D618E9" w:rsidRPr="001207E0" w:rsidRDefault="00D618E9" w:rsidP="00D618E9">
      <w:pPr>
        <w:spacing w:before="240" w:after="120" w:line="240" w:lineRule="auto"/>
        <w:rPr>
          <w:rFonts w:asciiTheme="minorHAnsi" w:hAnsiTheme="minorHAnsi" w:cstheme="minorHAnsi"/>
        </w:rPr>
      </w:pPr>
      <w:r w:rsidRPr="001207E0">
        <w:rPr>
          <w:rFonts w:asciiTheme="minorHAnsi" w:hAnsiTheme="minorHAnsi" w:cstheme="minorHAnsi"/>
        </w:rPr>
        <w:t>The sector has a proud history of innovating -- sometimes compelled by scarce resources, but always driven by a passion to improve the circumstances of others.  The sector knows how to adapt, is harnessing new technology and is continuing to produce excellent outcomes for the greater good.</w:t>
      </w:r>
      <w:r w:rsidR="00041852" w:rsidRPr="001207E0">
        <w:rPr>
          <w:rStyle w:val="FootnoteReference"/>
          <w:rFonts w:asciiTheme="minorHAnsi" w:hAnsiTheme="minorHAnsi" w:cstheme="minorHAnsi"/>
        </w:rPr>
        <w:footnoteReference w:id="1"/>
      </w:r>
    </w:p>
    <w:p w:rsidR="00ED6F03" w:rsidRPr="001207E0" w:rsidRDefault="00ED6F03" w:rsidP="008215B4">
      <w:pPr>
        <w:spacing w:before="240" w:after="120" w:line="240" w:lineRule="auto"/>
        <w:rPr>
          <w:rFonts w:asciiTheme="minorHAnsi" w:hAnsiTheme="minorHAnsi" w:cstheme="minorHAnsi"/>
        </w:rPr>
      </w:pPr>
      <w:r w:rsidRPr="001207E0">
        <w:rPr>
          <w:rFonts w:asciiTheme="minorHAnsi" w:hAnsiTheme="minorHAnsi" w:cstheme="minorHAnsi"/>
        </w:rPr>
        <w:t xml:space="preserve">Australians recognise the positive contribution and influence charities have on society.  The majority of Australians </w:t>
      </w:r>
      <w:r w:rsidR="00040BE0">
        <w:rPr>
          <w:rFonts w:asciiTheme="minorHAnsi" w:hAnsiTheme="minorHAnsi" w:cstheme="minorHAnsi"/>
        </w:rPr>
        <w:t>(around 80%</w:t>
      </w:r>
      <w:r w:rsidR="00040BE0">
        <w:rPr>
          <w:rStyle w:val="FootnoteReference"/>
          <w:rFonts w:asciiTheme="minorHAnsi" w:hAnsiTheme="minorHAnsi" w:cstheme="minorHAnsi"/>
        </w:rPr>
        <w:footnoteReference w:id="2"/>
      </w:r>
      <w:r w:rsidR="00040BE0">
        <w:rPr>
          <w:rFonts w:asciiTheme="minorHAnsi" w:hAnsiTheme="minorHAnsi" w:cstheme="minorHAnsi"/>
        </w:rPr>
        <w:t xml:space="preserve">) </w:t>
      </w:r>
      <w:r w:rsidRPr="001207E0">
        <w:rPr>
          <w:rFonts w:asciiTheme="minorHAnsi" w:hAnsiTheme="minorHAnsi" w:cstheme="minorHAnsi"/>
        </w:rPr>
        <w:t xml:space="preserve">regularly engage with the charity sector, based on the knowledge there would be a clear and measurable outcome and an understanding that a high proportion of funds they donate contribute </w:t>
      </w:r>
      <w:r w:rsidR="000A3296" w:rsidRPr="000A3296">
        <w:rPr>
          <w:rFonts w:asciiTheme="minorHAnsi" w:hAnsiTheme="minorHAnsi" w:cstheme="minorHAnsi"/>
        </w:rPr>
        <w:t xml:space="preserve">or the time they volunteer </w:t>
      </w:r>
      <w:r w:rsidRPr="001207E0">
        <w:rPr>
          <w:rFonts w:asciiTheme="minorHAnsi" w:hAnsiTheme="minorHAnsi" w:cstheme="minorHAnsi"/>
        </w:rPr>
        <w:t>towards the cause they choose as important to them.</w:t>
      </w:r>
      <w:r w:rsidR="00032692" w:rsidRPr="001207E0">
        <w:rPr>
          <w:rFonts w:asciiTheme="minorHAnsi" w:hAnsiTheme="minorHAnsi" w:cstheme="minorHAnsi"/>
        </w:rPr>
        <w:t xml:space="preserve">  Most Australians consider it important that a regulator for the charities sector exists, largely based on the financial value of the sector and the values that underpin philanthropic giving.</w:t>
      </w:r>
      <w:r w:rsidRPr="001207E0">
        <w:rPr>
          <w:rStyle w:val="FootnoteReference"/>
          <w:rFonts w:asciiTheme="minorHAnsi" w:hAnsiTheme="minorHAnsi" w:cstheme="minorHAnsi"/>
        </w:rPr>
        <w:footnoteReference w:id="3"/>
      </w:r>
      <w:r w:rsidRPr="001207E0">
        <w:rPr>
          <w:rFonts w:asciiTheme="minorHAnsi" w:hAnsiTheme="minorHAnsi" w:cstheme="minorHAnsi"/>
        </w:rPr>
        <w:t xml:space="preserve">  </w:t>
      </w:r>
    </w:p>
    <w:p w:rsidR="00190C7F" w:rsidRPr="001207E0" w:rsidRDefault="00195AB7" w:rsidP="00190C7F">
      <w:pPr>
        <w:spacing w:before="240" w:after="120" w:line="240" w:lineRule="auto"/>
        <w:rPr>
          <w:rFonts w:asciiTheme="minorHAnsi" w:hAnsiTheme="minorHAnsi" w:cstheme="minorHAnsi"/>
        </w:rPr>
      </w:pPr>
      <w:r w:rsidRPr="001207E0">
        <w:rPr>
          <w:rFonts w:asciiTheme="minorHAnsi" w:hAnsiTheme="minorHAnsi" w:cstheme="minorHAnsi"/>
        </w:rPr>
        <w:t xml:space="preserve">There is a delicate balance </w:t>
      </w:r>
      <w:r w:rsidR="00190C7F" w:rsidRPr="001207E0">
        <w:rPr>
          <w:rFonts w:asciiTheme="minorHAnsi" w:hAnsiTheme="minorHAnsi" w:cstheme="minorHAnsi"/>
        </w:rPr>
        <w:t xml:space="preserve">to be </w:t>
      </w:r>
      <w:r w:rsidRPr="001207E0">
        <w:rPr>
          <w:rFonts w:asciiTheme="minorHAnsi" w:hAnsiTheme="minorHAnsi" w:cstheme="minorHAnsi"/>
        </w:rPr>
        <w:t xml:space="preserve">struck between </w:t>
      </w:r>
      <w:r w:rsidR="00190C7F" w:rsidRPr="001207E0">
        <w:rPr>
          <w:rFonts w:asciiTheme="minorHAnsi" w:hAnsiTheme="minorHAnsi" w:cstheme="minorHAnsi"/>
        </w:rPr>
        <w:t xml:space="preserve">respecting and sustaining </w:t>
      </w:r>
      <w:r w:rsidRPr="001207E0">
        <w:rPr>
          <w:rFonts w:asciiTheme="minorHAnsi" w:hAnsiTheme="minorHAnsi" w:cstheme="minorHAnsi"/>
        </w:rPr>
        <w:t xml:space="preserve">the values that underpin philanthropic giving, and the </w:t>
      </w:r>
      <w:r w:rsidR="00190C7F" w:rsidRPr="001207E0">
        <w:rPr>
          <w:rFonts w:asciiTheme="minorHAnsi" w:hAnsiTheme="minorHAnsi" w:cstheme="minorHAnsi"/>
        </w:rPr>
        <w:t xml:space="preserve">open </w:t>
      </w:r>
      <w:r w:rsidRPr="001207E0">
        <w:rPr>
          <w:rFonts w:asciiTheme="minorHAnsi" w:hAnsiTheme="minorHAnsi" w:cstheme="minorHAnsi"/>
        </w:rPr>
        <w:t xml:space="preserve">engagement and </w:t>
      </w:r>
      <w:r w:rsidR="00BA46C4" w:rsidRPr="001207E0">
        <w:rPr>
          <w:rFonts w:asciiTheme="minorHAnsi" w:hAnsiTheme="minorHAnsi" w:cstheme="minorHAnsi"/>
        </w:rPr>
        <w:t xml:space="preserve">trusting </w:t>
      </w:r>
      <w:r w:rsidRPr="001207E0">
        <w:rPr>
          <w:rFonts w:asciiTheme="minorHAnsi" w:hAnsiTheme="minorHAnsi" w:cstheme="minorHAnsi"/>
        </w:rPr>
        <w:t>relationship</w:t>
      </w:r>
      <w:r w:rsidR="00190C7F" w:rsidRPr="001207E0">
        <w:rPr>
          <w:rFonts w:asciiTheme="minorHAnsi" w:hAnsiTheme="minorHAnsi" w:cstheme="minorHAnsi"/>
        </w:rPr>
        <w:t>s</w:t>
      </w:r>
      <w:r w:rsidRPr="001207E0">
        <w:rPr>
          <w:rFonts w:asciiTheme="minorHAnsi" w:hAnsiTheme="minorHAnsi" w:cstheme="minorHAnsi"/>
        </w:rPr>
        <w:t xml:space="preserve"> between donors and charities, </w:t>
      </w:r>
      <w:r w:rsidR="00A53ECD">
        <w:rPr>
          <w:rFonts w:asciiTheme="minorHAnsi" w:hAnsiTheme="minorHAnsi" w:cstheme="minorHAnsi"/>
        </w:rPr>
        <w:t xml:space="preserve">with </w:t>
      </w:r>
      <w:r w:rsidRPr="001207E0">
        <w:rPr>
          <w:rFonts w:asciiTheme="minorHAnsi" w:hAnsiTheme="minorHAnsi" w:cstheme="minorHAnsi"/>
        </w:rPr>
        <w:t>the role of government as regulator</w:t>
      </w:r>
      <w:r w:rsidR="00F32B0E" w:rsidRPr="001207E0">
        <w:rPr>
          <w:rFonts w:asciiTheme="minorHAnsi" w:hAnsiTheme="minorHAnsi" w:cstheme="minorHAnsi"/>
        </w:rPr>
        <w:t xml:space="preserve"> to ensure that charities operate effectively and make good use of donor dollars, </w:t>
      </w:r>
      <w:r w:rsidR="00A53ECD">
        <w:rPr>
          <w:rFonts w:asciiTheme="minorHAnsi" w:hAnsiTheme="minorHAnsi" w:cstheme="minorHAnsi"/>
        </w:rPr>
        <w:t xml:space="preserve">while </w:t>
      </w:r>
      <w:r w:rsidR="00190C7F" w:rsidRPr="001207E0">
        <w:rPr>
          <w:rFonts w:asciiTheme="minorHAnsi" w:hAnsiTheme="minorHAnsi" w:cstheme="minorHAnsi"/>
        </w:rPr>
        <w:t>not overburdening the sector with regulation or deterring philanthropy.</w:t>
      </w:r>
    </w:p>
    <w:p w:rsidR="006B0875" w:rsidRPr="001207E0" w:rsidRDefault="00190C7F" w:rsidP="00A93FB6">
      <w:pPr>
        <w:spacing w:before="240" w:after="120" w:line="240" w:lineRule="auto"/>
        <w:rPr>
          <w:rFonts w:asciiTheme="minorHAnsi" w:hAnsiTheme="minorHAnsi" w:cstheme="minorHAnsi"/>
        </w:rPr>
      </w:pPr>
      <w:r w:rsidRPr="001207E0">
        <w:rPr>
          <w:rFonts w:asciiTheme="minorHAnsi" w:hAnsiTheme="minorHAnsi" w:cstheme="minorHAnsi"/>
        </w:rPr>
        <w:t>There are concerns f</w:t>
      </w:r>
      <w:r w:rsidR="00E251F5" w:rsidRPr="001207E0">
        <w:rPr>
          <w:rFonts w:asciiTheme="minorHAnsi" w:hAnsiTheme="minorHAnsi" w:cstheme="minorHAnsi"/>
        </w:rPr>
        <w:t>rom t</w:t>
      </w:r>
      <w:r w:rsidRPr="001207E0">
        <w:rPr>
          <w:rFonts w:asciiTheme="minorHAnsi" w:hAnsiTheme="minorHAnsi" w:cstheme="minorHAnsi"/>
        </w:rPr>
        <w:t>he sector and others</w:t>
      </w:r>
      <w:r w:rsidRPr="001207E0">
        <w:rPr>
          <w:rStyle w:val="FootnoteReference"/>
          <w:rFonts w:asciiTheme="minorHAnsi" w:hAnsiTheme="minorHAnsi" w:cstheme="minorHAnsi"/>
        </w:rPr>
        <w:footnoteReference w:id="4"/>
      </w:r>
      <w:r w:rsidRPr="001207E0">
        <w:rPr>
          <w:rFonts w:asciiTheme="minorHAnsi" w:hAnsiTheme="minorHAnsi" w:cstheme="minorHAnsi"/>
        </w:rPr>
        <w:t xml:space="preserve"> that the balance in Australia is tilted in favour of </w:t>
      </w:r>
      <w:r w:rsidR="00A93FB6" w:rsidRPr="001207E0">
        <w:rPr>
          <w:rFonts w:asciiTheme="minorHAnsi" w:hAnsiTheme="minorHAnsi" w:cstheme="minorHAnsi"/>
        </w:rPr>
        <w:t>over regulation</w:t>
      </w:r>
      <w:r w:rsidRPr="001207E0">
        <w:rPr>
          <w:rFonts w:asciiTheme="minorHAnsi" w:hAnsiTheme="minorHAnsi" w:cstheme="minorHAnsi"/>
        </w:rPr>
        <w:t>, largely due to the amount of duplicate regulation</w:t>
      </w:r>
      <w:r w:rsidR="00E251F5" w:rsidRPr="001207E0">
        <w:rPr>
          <w:rFonts w:asciiTheme="minorHAnsi" w:hAnsiTheme="minorHAnsi" w:cstheme="minorHAnsi"/>
        </w:rPr>
        <w:t>, where m</w:t>
      </w:r>
      <w:r w:rsidRPr="001207E0">
        <w:rPr>
          <w:rFonts w:asciiTheme="minorHAnsi" w:hAnsiTheme="minorHAnsi" w:cstheme="minorHAnsi"/>
        </w:rPr>
        <w:t>uch of this is due to federalism</w:t>
      </w:r>
      <w:r w:rsidR="00E251F5" w:rsidRPr="001207E0">
        <w:rPr>
          <w:rFonts w:asciiTheme="minorHAnsi" w:hAnsiTheme="minorHAnsi" w:cstheme="minorHAnsi"/>
        </w:rPr>
        <w:t xml:space="preserve">.  </w:t>
      </w:r>
    </w:p>
    <w:p w:rsidR="00A93FB6" w:rsidRPr="001207E0" w:rsidRDefault="00A93FB6" w:rsidP="00A93FB6">
      <w:pPr>
        <w:spacing w:before="240" w:after="120" w:line="240" w:lineRule="auto"/>
        <w:rPr>
          <w:rFonts w:asciiTheme="minorHAnsi" w:hAnsiTheme="minorHAnsi" w:cstheme="minorHAnsi"/>
        </w:rPr>
      </w:pPr>
      <w:r w:rsidRPr="001207E0">
        <w:rPr>
          <w:rFonts w:asciiTheme="minorHAnsi" w:hAnsiTheme="minorHAnsi" w:cstheme="minorHAnsi"/>
        </w:rPr>
        <w:t>Charities consider Government regulation as overly restrictive</w:t>
      </w:r>
      <w:r w:rsidRPr="001207E0">
        <w:rPr>
          <w:rStyle w:val="FootnoteReference"/>
          <w:rFonts w:asciiTheme="minorHAnsi" w:hAnsiTheme="minorHAnsi" w:cstheme="minorHAnsi"/>
        </w:rPr>
        <w:footnoteReference w:id="5"/>
      </w:r>
      <w:r w:rsidRPr="001207E0">
        <w:rPr>
          <w:rFonts w:asciiTheme="minorHAnsi" w:hAnsiTheme="minorHAnsi" w:cstheme="minorHAnsi"/>
        </w:rPr>
        <w:t xml:space="preserve">, especially for volunteering, with the need for police checks and </w:t>
      </w:r>
      <w:r w:rsidR="00111108">
        <w:rPr>
          <w:rFonts w:asciiTheme="minorHAnsi" w:hAnsiTheme="minorHAnsi" w:cstheme="minorHAnsi"/>
        </w:rPr>
        <w:t>R</w:t>
      </w:r>
      <w:r w:rsidRPr="001207E0">
        <w:rPr>
          <w:rFonts w:asciiTheme="minorHAnsi" w:hAnsiTheme="minorHAnsi" w:cstheme="minorHAnsi"/>
        </w:rPr>
        <w:t xml:space="preserve">esponsible </w:t>
      </w:r>
      <w:r w:rsidR="00111108">
        <w:rPr>
          <w:rFonts w:asciiTheme="minorHAnsi" w:hAnsiTheme="minorHAnsi" w:cstheme="minorHAnsi"/>
        </w:rPr>
        <w:t>S</w:t>
      </w:r>
      <w:r w:rsidRPr="001207E0">
        <w:rPr>
          <w:rFonts w:asciiTheme="minorHAnsi" w:hAnsiTheme="minorHAnsi" w:cstheme="minorHAnsi"/>
        </w:rPr>
        <w:t xml:space="preserve">ervice of </w:t>
      </w:r>
      <w:r w:rsidR="00111108">
        <w:rPr>
          <w:rFonts w:asciiTheme="minorHAnsi" w:hAnsiTheme="minorHAnsi" w:cstheme="minorHAnsi"/>
        </w:rPr>
        <w:t>A</w:t>
      </w:r>
      <w:r w:rsidRPr="001207E0">
        <w:rPr>
          <w:rFonts w:asciiTheme="minorHAnsi" w:hAnsiTheme="minorHAnsi" w:cstheme="minorHAnsi"/>
        </w:rPr>
        <w:t xml:space="preserve">lcohol </w:t>
      </w:r>
      <w:r w:rsidR="006B0875" w:rsidRPr="001207E0">
        <w:rPr>
          <w:rFonts w:asciiTheme="minorHAnsi" w:hAnsiTheme="minorHAnsi" w:cstheme="minorHAnsi"/>
        </w:rPr>
        <w:t xml:space="preserve">(RSA) </w:t>
      </w:r>
      <w:r w:rsidR="00111108">
        <w:rPr>
          <w:rFonts w:asciiTheme="minorHAnsi" w:hAnsiTheme="minorHAnsi" w:cstheme="minorHAnsi"/>
        </w:rPr>
        <w:t xml:space="preserve">and Food Safety Compliance </w:t>
      </w:r>
      <w:r w:rsidRPr="001207E0">
        <w:rPr>
          <w:rFonts w:asciiTheme="minorHAnsi" w:hAnsiTheme="minorHAnsi" w:cstheme="minorHAnsi"/>
        </w:rPr>
        <w:t>certificates for volunteers (for example at local fundraising events)</w:t>
      </w:r>
      <w:r w:rsidR="006B0875" w:rsidRPr="001207E0">
        <w:rPr>
          <w:rFonts w:asciiTheme="minorHAnsi" w:hAnsiTheme="minorHAnsi" w:cstheme="minorHAnsi"/>
        </w:rPr>
        <w:t xml:space="preserve">.  </w:t>
      </w:r>
      <w:r w:rsidRPr="001207E0">
        <w:rPr>
          <w:rFonts w:asciiTheme="minorHAnsi" w:hAnsiTheme="minorHAnsi" w:cstheme="minorHAnsi"/>
        </w:rPr>
        <w:t xml:space="preserve">Although they recognise the importance of such regulation, there </w:t>
      </w:r>
      <w:r w:rsidR="00111108">
        <w:rPr>
          <w:rFonts w:asciiTheme="minorHAnsi" w:hAnsiTheme="minorHAnsi" w:cstheme="minorHAnsi"/>
        </w:rPr>
        <w:t>is</w:t>
      </w:r>
      <w:r w:rsidRPr="001207E0">
        <w:rPr>
          <w:rFonts w:asciiTheme="minorHAnsi" w:hAnsiTheme="minorHAnsi" w:cstheme="minorHAnsi"/>
        </w:rPr>
        <w:t xml:space="preserve"> a general sentiment that red tape should be minimised as it can be time-consuming and deter </w:t>
      </w:r>
      <w:r w:rsidR="00111108">
        <w:rPr>
          <w:rFonts w:asciiTheme="minorHAnsi" w:hAnsiTheme="minorHAnsi" w:cstheme="minorHAnsi"/>
        </w:rPr>
        <w:t xml:space="preserve">existing and </w:t>
      </w:r>
      <w:r w:rsidRPr="001207E0">
        <w:rPr>
          <w:rFonts w:asciiTheme="minorHAnsi" w:hAnsiTheme="minorHAnsi" w:cstheme="minorHAnsi"/>
        </w:rPr>
        <w:t xml:space="preserve">potential volunteers.  </w:t>
      </w:r>
    </w:p>
    <w:p w:rsidR="00E251F5" w:rsidRPr="001207E0" w:rsidRDefault="00E251F5" w:rsidP="008215B4">
      <w:pPr>
        <w:spacing w:before="240" w:after="120" w:line="240" w:lineRule="auto"/>
        <w:rPr>
          <w:rFonts w:asciiTheme="minorHAnsi" w:hAnsiTheme="minorHAnsi" w:cstheme="minorHAnsi"/>
        </w:rPr>
      </w:pPr>
      <w:r w:rsidRPr="001207E0">
        <w:rPr>
          <w:rFonts w:asciiTheme="minorHAnsi" w:hAnsiTheme="minorHAnsi" w:cstheme="minorHAnsi"/>
        </w:rPr>
        <w:t xml:space="preserve">There is a </w:t>
      </w:r>
      <w:r w:rsidR="00190C7F" w:rsidRPr="001207E0">
        <w:rPr>
          <w:rFonts w:asciiTheme="minorHAnsi" w:hAnsiTheme="minorHAnsi" w:cstheme="minorHAnsi"/>
        </w:rPr>
        <w:t>need for state governments to cede some of their powers in order to reduce red tape, such as harmonising requirements across state borders so that there is consistent national regulation and standards</w:t>
      </w:r>
      <w:r w:rsidRPr="001207E0">
        <w:rPr>
          <w:rFonts w:asciiTheme="minorHAnsi" w:hAnsiTheme="minorHAnsi" w:cstheme="minorHAnsi"/>
        </w:rPr>
        <w:t xml:space="preserve"> applying to the charities sector, and the NFP sector overall. </w:t>
      </w:r>
    </w:p>
    <w:p w:rsidR="008602C0" w:rsidRPr="001207E0" w:rsidRDefault="008602C0" w:rsidP="008602C0">
      <w:pPr>
        <w:spacing w:before="240" w:after="120" w:line="240" w:lineRule="auto"/>
        <w:rPr>
          <w:rFonts w:asciiTheme="minorHAnsi" w:hAnsiTheme="minorHAnsi" w:cstheme="minorHAnsi"/>
        </w:rPr>
      </w:pPr>
      <w:r w:rsidRPr="001207E0">
        <w:rPr>
          <w:rFonts w:asciiTheme="minorHAnsi" w:hAnsiTheme="minorHAnsi" w:cstheme="minorHAnsi"/>
        </w:rPr>
        <w:t xml:space="preserve">The problem facing the NFP sector in Australia is seen by some as one of too much </w:t>
      </w:r>
      <w:r w:rsidR="00AA5DDC">
        <w:rPr>
          <w:rFonts w:asciiTheme="minorHAnsi" w:hAnsiTheme="minorHAnsi" w:cstheme="minorHAnsi"/>
        </w:rPr>
        <w:t xml:space="preserve">duplicated </w:t>
      </w:r>
      <w:r w:rsidRPr="001207E0">
        <w:rPr>
          <w:rFonts w:asciiTheme="minorHAnsi" w:hAnsiTheme="minorHAnsi" w:cstheme="minorHAnsi"/>
        </w:rPr>
        <w:t>regulation</w:t>
      </w:r>
      <w:r w:rsidR="00AA5DDC">
        <w:rPr>
          <w:rFonts w:asciiTheme="minorHAnsi" w:hAnsiTheme="minorHAnsi" w:cstheme="minorHAnsi"/>
        </w:rPr>
        <w:t xml:space="preserve">.  </w:t>
      </w:r>
      <w:r w:rsidRPr="001207E0">
        <w:rPr>
          <w:rFonts w:asciiTheme="minorHAnsi" w:hAnsiTheme="minorHAnsi" w:cstheme="minorHAnsi"/>
        </w:rPr>
        <w:t xml:space="preserve">In the case of charitable NFPs, the challenge is to pare this regulatory burden while still reassuring donors they can give their time and money confidently.   Consequently, charity regulation is often seen a trade-off, where red tape is a significant burden with many costs and disadvantages, but it is a necessary evil to ensure the charity sector is well governed.  </w:t>
      </w:r>
    </w:p>
    <w:p w:rsidR="008602C0" w:rsidRPr="001207E0" w:rsidRDefault="008602C0" w:rsidP="008602C0">
      <w:pPr>
        <w:spacing w:before="240" w:after="120" w:line="240" w:lineRule="auto"/>
        <w:rPr>
          <w:rFonts w:asciiTheme="minorHAnsi" w:hAnsiTheme="minorHAnsi" w:cstheme="minorHAnsi"/>
        </w:rPr>
      </w:pPr>
      <w:r w:rsidRPr="001207E0">
        <w:rPr>
          <w:rFonts w:asciiTheme="minorHAnsi" w:hAnsiTheme="minorHAnsi" w:cstheme="minorHAnsi"/>
        </w:rPr>
        <w:t>The risk of government overregulation may destroy the very virtues that brought charitable organisations into the government’s orbit in the first place i.e. Australian government contracting out services to NFPs expressly because these groups were closer to their clients, more zealous in their missions, and more willing to experiment with innovative solutions than their government counterparts.</w:t>
      </w:r>
    </w:p>
    <w:p w:rsidR="008602C0" w:rsidRPr="001207E0" w:rsidRDefault="008602C0" w:rsidP="008602C0">
      <w:pPr>
        <w:spacing w:before="240" w:after="120" w:line="240" w:lineRule="auto"/>
        <w:rPr>
          <w:rFonts w:asciiTheme="minorHAnsi" w:hAnsiTheme="minorHAnsi" w:cstheme="minorHAnsi"/>
        </w:rPr>
      </w:pPr>
      <w:r w:rsidRPr="001207E0">
        <w:rPr>
          <w:rFonts w:asciiTheme="minorHAnsi" w:hAnsiTheme="minorHAnsi" w:cstheme="minorHAnsi"/>
        </w:rPr>
        <w:t>The goal should be to provide adequate oversight for the NFP sector by non-government means.</w:t>
      </w:r>
      <w:r w:rsidR="00275CEC">
        <w:rPr>
          <w:rFonts w:asciiTheme="minorHAnsi" w:hAnsiTheme="minorHAnsi" w:cstheme="minorHAnsi"/>
        </w:rPr>
        <w:t xml:space="preserve">  </w:t>
      </w:r>
      <w:r w:rsidRPr="001207E0">
        <w:rPr>
          <w:rFonts w:asciiTheme="minorHAnsi" w:hAnsiTheme="minorHAnsi" w:cstheme="minorHAnsi"/>
        </w:rPr>
        <w:t xml:space="preserve"> Non-government regulation is not just a matter of saving taxpayer money by lessening the need for government regulation but it is crucial to preserving one of civil society’s greatest resources: its independence. </w:t>
      </w:r>
      <w:r w:rsidRPr="001207E0">
        <w:rPr>
          <w:rStyle w:val="FootnoteReference"/>
          <w:rFonts w:asciiTheme="minorHAnsi" w:hAnsiTheme="minorHAnsi" w:cstheme="minorHAnsi"/>
        </w:rPr>
        <w:footnoteReference w:id="6"/>
      </w:r>
      <w:r w:rsidRPr="001207E0">
        <w:rPr>
          <w:rFonts w:asciiTheme="minorHAnsi" w:hAnsiTheme="minorHAnsi" w:cstheme="minorHAnsi"/>
        </w:rPr>
        <w:t xml:space="preserve">  </w:t>
      </w:r>
    </w:p>
    <w:p w:rsidR="00AA2B16" w:rsidRPr="001207E0" w:rsidRDefault="00AA2B16" w:rsidP="00AA2B16">
      <w:pPr>
        <w:spacing w:before="240" w:after="120" w:line="240" w:lineRule="auto"/>
        <w:rPr>
          <w:rFonts w:asciiTheme="minorHAnsi" w:hAnsiTheme="minorHAnsi" w:cstheme="minorHAnsi"/>
        </w:rPr>
      </w:pPr>
      <w:r w:rsidRPr="001207E0">
        <w:rPr>
          <w:rFonts w:asciiTheme="minorHAnsi" w:hAnsiTheme="minorHAnsi" w:cstheme="minorHAnsi"/>
        </w:rPr>
        <w:t>In a world where charity choice is increasingly global for donors and volunteers</w:t>
      </w:r>
      <w:r w:rsidR="00275CEC">
        <w:rPr>
          <w:rFonts w:asciiTheme="minorHAnsi" w:hAnsiTheme="minorHAnsi" w:cstheme="minorHAnsi"/>
        </w:rPr>
        <w:t>,</w:t>
      </w:r>
      <w:r w:rsidRPr="001207E0">
        <w:rPr>
          <w:rFonts w:asciiTheme="minorHAnsi" w:hAnsiTheme="minorHAnsi" w:cstheme="minorHAnsi"/>
        </w:rPr>
        <w:t xml:space="preserve"> there are greater possibilities but also more competition for charities and NFP organisations trying to connect with potential donors and supporters.</w:t>
      </w:r>
      <w:r w:rsidR="00275CEC">
        <w:rPr>
          <w:rFonts w:asciiTheme="minorHAnsi" w:hAnsiTheme="minorHAnsi" w:cstheme="minorHAnsi"/>
        </w:rPr>
        <w:t xml:space="preserve">  </w:t>
      </w:r>
      <w:r w:rsidRPr="001207E0">
        <w:rPr>
          <w:rFonts w:asciiTheme="minorHAnsi" w:hAnsiTheme="minorHAnsi" w:cstheme="minorHAnsi"/>
        </w:rPr>
        <w:t xml:space="preserve">Understanding and appealing to donor motivations and adapting to their preferences </w:t>
      </w:r>
      <w:r w:rsidR="00275CEC">
        <w:rPr>
          <w:rFonts w:asciiTheme="minorHAnsi" w:hAnsiTheme="minorHAnsi" w:cstheme="minorHAnsi"/>
        </w:rPr>
        <w:t xml:space="preserve">(particularly as new generations enter with different triggers and expectations) </w:t>
      </w:r>
      <w:r w:rsidR="00A93FB6" w:rsidRPr="001207E0">
        <w:rPr>
          <w:rFonts w:asciiTheme="minorHAnsi" w:hAnsiTheme="minorHAnsi" w:cstheme="minorHAnsi"/>
        </w:rPr>
        <w:t xml:space="preserve">are </w:t>
      </w:r>
      <w:r w:rsidRPr="001207E0">
        <w:rPr>
          <w:rFonts w:asciiTheme="minorHAnsi" w:hAnsiTheme="minorHAnsi" w:cstheme="minorHAnsi"/>
        </w:rPr>
        <w:t xml:space="preserve">more important than ever </w:t>
      </w:r>
      <w:r w:rsidR="00810ABC" w:rsidRPr="001207E0">
        <w:rPr>
          <w:rFonts w:asciiTheme="minorHAnsi" w:hAnsiTheme="minorHAnsi" w:cstheme="minorHAnsi"/>
        </w:rPr>
        <w:t xml:space="preserve">for charities to </w:t>
      </w:r>
      <w:r w:rsidRPr="001207E0">
        <w:rPr>
          <w:rFonts w:asciiTheme="minorHAnsi" w:hAnsiTheme="minorHAnsi" w:cstheme="minorHAnsi"/>
        </w:rPr>
        <w:t>achiev</w:t>
      </w:r>
      <w:r w:rsidR="00810ABC" w:rsidRPr="001207E0">
        <w:rPr>
          <w:rFonts w:asciiTheme="minorHAnsi" w:hAnsiTheme="minorHAnsi" w:cstheme="minorHAnsi"/>
        </w:rPr>
        <w:t xml:space="preserve">e </w:t>
      </w:r>
      <w:r w:rsidRPr="001207E0">
        <w:rPr>
          <w:rFonts w:asciiTheme="minorHAnsi" w:hAnsiTheme="minorHAnsi" w:cstheme="minorHAnsi"/>
        </w:rPr>
        <w:t>good outcomes.</w:t>
      </w:r>
      <w:r w:rsidR="00810ABC" w:rsidRPr="001207E0">
        <w:rPr>
          <w:rFonts w:asciiTheme="minorHAnsi" w:hAnsiTheme="minorHAnsi" w:cstheme="minorHAnsi"/>
        </w:rPr>
        <w:t xml:space="preserve"> </w:t>
      </w:r>
      <w:r w:rsidR="00A93FB6" w:rsidRPr="001207E0">
        <w:rPr>
          <w:rFonts w:asciiTheme="minorHAnsi" w:hAnsiTheme="minorHAnsi" w:cstheme="minorHAnsi"/>
        </w:rPr>
        <w:t xml:space="preserve"> </w:t>
      </w:r>
      <w:r w:rsidR="00275CEC">
        <w:rPr>
          <w:rFonts w:asciiTheme="minorHAnsi" w:hAnsiTheme="minorHAnsi" w:cstheme="minorHAnsi"/>
        </w:rPr>
        <w:t xml:space="preserve">Donors </w:t>
      </w:r>
      <w:r w:rsidR="00810ABC" w:rsidRPr="001207E0">
        <w:rPr>
          <w:rFonts w:asciiTheme="minorHAnsi" w:hAnsiTheme="minorHAnsi" w:cstheme="minorHAnsi"/>
        </w:rPr>
        <w:t xml:space="preserve">and volunteers want to be a part of something that creates impact and where they </w:t>
      </w:r>
      <w:r w:rsidR="008A42CD" w:rsidRPr="001207E0">
        <w:rPr>
          <w:rFonts w:asciiTheme="minorHAnsi" w:hAnsiTheme="minorHAnsi" w:cstheme="minorHAnsi"/>
        </w:rPr>
        <w:t xml:space="preserve">can </w:t>
      </w:r>
      <w:r w:rsidR="00810ABC" w:rsidRPr="001207E0">
        <w:rPr>
          <w:rFonts w:asciiTheme="minorHAnsi" w:hAnsiTheme="minorHAnsi" w:cstheme="minorHAnsi"/>
        </w:rPr>
        <w:t>see that impact.</w:t>
      </w:r>
      <w:r w:rsidRPr="001207E0">
        <w:rPr>
          <w:rStyle w:val="FootnoteReference"/>
          <w:rFonts w:asciiTheme="minorHAnsi" w:hAnsiTheme="minorHAnsi" w:cstheme="minorHAnsi"/>
        </w:rPr>
        <w:footnoteReference w:id="7"/>
      </w:r>
    </w:p>
    <w:p w:rsidR="00AA2B16" w:rsidRPr="001207E0" w:rsidRDefault="00AA2B16" w:rsidP="007078C3">
      <w:pPr>
        <w:spacing w:before="120" w:after="120" w:line="240" w:lineRule="auto"/>
        <w:rPr>
          <w:rFonts w:asciiTheme="minorHAnsi" w:hAnsiTheme="minorHAnsi" w:cstheme="minorHAnsi"/>
        </w:rPr>
      </w:pPr>
      <w:r w:rsidRPr="001207E0">
        <w:rPr>
          <w:rFonts w:asciiTheme="minorHAnsi" w:hAnsiTheme="minorHAnsi" w:cstheme="minorHAnsi"/>
        </w:rPr>
        <w:t>Charities</w:t>
      </w:r>
      <w:r w:rsidR="007606EA" w:rsidRPr="001207E0">
        <w:rPr>
          <w:rFonts w:asciiTheme="minorHAnsi" w:hAnsiTheme="minorHAnsi" w:cstheme="minorHAnsi"/>
        </w:rPr>
        <w:t xml:space="preserve"> have</w:t>
      </w:r>
      <w:r w:rsidRPr="001207E0">
        <w:rPr>
          <w:rFonts w:asciiTheme="minorHAnsi" w:hAnsiTheme="minorHAnsi" w:cstheme="minorHAnsi"/>
        </w:rPr>
        <w:t xml:space="preserve"> identified several areas in the regulatory environment they felt could be used to stimulate giving and volunteering: </w:t>
      </w:r>
    </w:p>
    <w:p w:rsidR="00AA2B16" w:rsidRPr="001207E0" w:rsidRDefault="00AA2B16" w:rsidP="00196C84">
      <w:pPr>
        <w:pStyle w:val="ListParagraph"/>
        <w:numPr>
          <w:ilvl w:val="0"/>
          <w:numId w:val="20"/>
        </w:numPr>
        <w:spacing w:before="120" w:after="120" w:line="240" w:lineRule="auto"/>
        <w:ind w:left="357" w:hanging="357"/>
        <w:contextualSpacing w:val="0"/>
        <w:rPr>
          <w:rFonts w:asciiTheme="minorHAnsi" w:hAnsiTheme="minorHAnsi" w:cstheme="minorHAnsi"/>
        </w:rPr>
      </w:pPr>
      <w:r w:rsidRPr="001207E0">
        <w:rPr>
          <w:rFonts w:asciiTheme="minorHAnsi" w:hAnsiTheme="minorHAnsi" w:cstheme="minorHAnsi"/>
        </w:rPr>
        <w:t>minimising red tape especially for volunteering (e.g. the expense of RSA</w:t>
      </w:r>
      <w:r w:rsidR="00FB5410" w:rsidRPr="001207E0">
        <w:rPr>
          <w:rFonts w:asciiTheme="minorHAnsi" w:hAnsiTheme="minorHAnsi" w:cstheme="minorHAnsi"/>
        </w:rPr>
        <w:t xml:space="preserve"> checks</w:t>
      </w:r>
      <w:r w:rsidRPr="001207E0">
        <w:rPr>
          <w:rFonts w:asciiTheme="minorHAnsi" w:hAnsiTheme="minorHAnsi" w:cstheme="minorHAnsi"/>
        </w:rPr>
        <w:t xml:space="preserve"> and cost and time of non-transferable police checks</w:t>
      </w:r>
      <w:r w:rsidR="006B0875" w:rsidRPr="001207E0">
        <w:rPr>
          <w:rFonts w:asciiTheme="minorHAnsi" w:hAnsiTheme="minorHAnsi" w:cstheme="minorHAnsi"/>
        </w:rPr>
        <w:t xml:space="preserve"> on people working with children or vulnerable people</w:t>
      </w:r>
      <w:r w:rsidRPr="001207E0">
        <w:rPr>
          <w:rFonts w:asciiTheme="minorHAnsi" w:hAnsiTheme="minorHAnsi" w:cstheme="minorHAnsi"/>
        </w:rPr>
        <w:t xml:space="preserve">) </w:t>
      </w:r>
    </w:p>
    <w:p w:rsidR="00AA2B16" w:rsidRPr="001207E0" w:rsidRDefault="00AA2B16" w:rsidP="00196C84">
      <w:pPr>
        <w:pStyle w:val="ListParagraph"/>
        <w:numPr>
          <w:ilvl w:val="0"/>
          <w:numId w:val="20"/>
        </w:numPr>
        <w:spacing w:before="120" w:after="120" w:line="240" w:lineRule="auto"/>
        <w:ind w:left="357" w:hanging="357"/>
        <w:contextualSpacing w:val="0"/>
        <w:rPr>
          <w:rFonts w:asciiTheme="minorHAnsi" w:hAnsiTheme="minorHAnsi" w:cstheme="minorHAnsi"/>
        </w:rPr>
      </w:pPr>
      <w:r w:rsidRPr="001207E0">
        <w:rPr>
          <w:rFonts w:asciiTheme="minorHAnsi" w:hAnsiTheme="minorHAnsi" w:cstheme="minorHAnsi"/>
        </w:rPr>
        <w:t xml:space="preserve">privacy regulation, which was seen as difficult to understand and implement well </w:t>
      </w:r>
    </w:p>
    <w:p w:rsidR="00AA2B16" w:rsidRPr="001207E0" w:rsidRDefault="006A4DB0" w:rsidP="00196C84">
      <w:pPr>
        <w:pStyle w:val="ListParagraph"/>
        <w:numPr>
          <w:ilvl w:val="0"/>
          <w:numId w:val="20"/>
        </w:numPr>
        <w:spacing w:before="120" w:after="120" w:line="240" w:lineRule="auto"/>
        <w:ind w:left="357" w:hanging="357"/>
        <w:contextualSpacing w:val="0"/>
        <w:rPr>
          <w:rFonts w:asciiTheme="minorHAnsi" w:hAnsiTheme="minorHAnsi" w:cstheme="minorHAnsi"/>
        </w:rPr>
      </w:pPr>
      <w:r w:rsidRPr="001207E0">
        <w:rPr>
          <w:rFonts w:asciiTheme="minorHAnsi" w:hAnsiTheme="minorHAnsi" w:cstheme="minorHAnsi"/>
        </w:rPr>
        <w:t xml:space="preserve">restrictive </w:t>
      </w:r>
      <w:r w:rsidR="00AA2B16" w:rsidRPr="001207E0">
        <w:rPr>
          <w:rFonts w:asciiTheme="minorHAnsi" w:hAnsiTheme="minorHAnsi" w:cstheme="minorHAnsi"/>
        </w:rPr>
        <w:t>taxation</w:t>
      </w:r>
      <w:r w:rsidRPr="001207E0">
        <w:rPr>
          <w:rFonts w:asciiTheme="minorHAnsi" w:hAnsiTheme="minorHAnsi" w:cstheme="minorHAnsi"/>
        </w:rPr>
        <w:t xml:space="preserve"> arrangements</w:t>
      </w:r>
      <w:r w:rsidR="00AA2B16" w:rsidRPr="001207E0">
        <w:rPr>
          <w:rFonts w:asciiTheme="minorHAnsi" w:hAnsiTheme="minorHAnsi" w:cstheme="minorHAnsi"/>
        </w:rPr>
        <w:t xml:space="preserve">, which was seen as less supportive than </w:t>
      </w:r>
      <w:r w:rsidR="000D49B9">
        <w:rPr>
          <w:rFonts w:asciiTheme="minorHAnsi" w:hAnsiTheme="minorHAnsi" w:cstheme="minorHAnsi"/>
        </w:rPr>
        <w:t xml:space="preserve">international </w:t>
      </w:r>
      <w:r w:rsidR="00A93FB6" w:rsidRPr="001207E0">
        <w:rPr>
          <w:rFonts w:asciiTheme="minorHAnsi" w:hAnsiTheme="minorHAnsi" w:cstheme="minorHAnsi"/>
        </w:rPr>
        <w:t xml:space="preserve">tax treatment </w:t>
      </w:r>
      <w:r w:rsidR="000D49B9">
        <w:rPr>
          <w:rFonts w:asciiTheme="minorHAnsi" w:hAnsiTheme="minorHAnsi" w:cstheme="minorHAnsi"/>
        </w:rPr>
        <w:t xml:space="preserve">approaches </w:t>
      </w:r>
      <w:r w:rsidR="00AA2B16" w:rsidRPr="001207E0">
        <w:rPr>
          <w:rFonts w:asciiTheme="minorHAnsi" w:hAnsiTheme="minorHAnsi" w:cstheme="minorHAnsi"/>
        </w:rPr>
        <w:t>for charit</w:t>
      </w:r>
      <w:r w:rsidR="001A1CC0" w:rsidRPr="001207E0">
        <w:rPr>
          <w:rFonts w:asciiTheme="minorHAnsi" w:hAnsiTheme="minorHAnsi" w:cstheme="minorHAnsi"/>
        </w:rPr>
        <w:t xml:space="preserve">ies and social enterprises </w:t>
      </w:r>
    </w:p>
    <w:p w:rsidR="00ED6F03" w:rsidRPr="001207E0" w:rsidRDefault="00AA2B16" w:rsidP="00196C84">
      <w:pPr>
        <w:pStyle w:val="ListParagraph"/>
        <w:numPr>
          <w:ilvl w:val="0"/>
          <w:numId w:val="20"/>
        </w:numPr>
        <w:spacing w:before="120" w:after="120" w:line="240" w:lineRule="auto"/>
        <w:ind w:left="357" w:hanging="357"/>
        <w:contextualSpacing w:val="0"/>
        <w:rPr>
          <w:rFonts w:asciiTheme="minorHAnsi" w:hAnsiTheme="minorHAnsi" w:cstheme="minorHAnsi"/>
        </w:rPr>
      </w:pPr>
      <w:r w:rsidRPr="001207E0">
        <w:rPr>
          <w:rFonts w:asciiTheme="minorHAnsi" w:hAnsiTheme="minorHAnsi" w:cstheme="minorHAnsi"/>
        </w:rPr>
        <w:t>policy initiatives to stimulate giving, especially those with perceived untapped potential such as bequests and workplace giving</w:t>
      </w:r>
      <w:r w:rsidR="001A1CC0" w:rsidRPr="001207E0">
        <w:rPr>
          <w:rFonts w:asciiTheme="minorHAnsi" w:hAnsiTheme="minorHAnsi" w:cstheme="minorHAnsi"/>
        </w:rPr>
        <w:t>, and</w:t>
      </w:r>
    </w:p>
    <w:p w:rsidR="001A1CC0" w:rsidRPr="001207E0" w:rsidRDefault="001A1CC0" w:rsidP="00196C84">
      <w:pPr>
        <w:pStyle w:val="ListParagraph"/>
        <w:numPr>
          <w:ilvl w:val="0"/>
          <w:numId w:val="20"/>
        </w:numPr>
        <w:spacing w:before="120" w:after="120" w:line="240" w:lineRule="auto"/>
        <w:ind w:left="357" w:hanging="357"/>
        <w:contextualSpacing w:val="0"/>
        <w:rPr>
          <w:rFonts w:asciiTheme="minorHAnsi" w:hAnsiTheme="minorHAnsi" w:cstheme="minorHAnsi"/>
        </w:rPr>
      </w:pPr>
      <w:r w:rsidRPr="001207E0">
        <w:rPr>
          <w:rFonts w:asciiTheme="minorHAnsi" w:hAnsiTheme="minorHAnsi" w:cstheme="minorHAnsi"/>
        </w:rPr>
        <w:t>ongoing collection, coordination and availability of research data to help NFP organisations operate most effectively.</w:t>
      </w:r>
    </w:p>
    <w:p w:rsidR="00E251F5" w:rsidRDefault="00E251F5" w:rsidP="008215B4">
      <w:pPr>
        <w:spacing w:before="240" w:after="120" w:line="240" w:lineRule="auto"/>
        <w:rPr>
          <w:rFonts w:asciiTheme="minorHAnsi" w:hAnsiTheme="minorHAnsi" w:cstheme="minorHAnsi"/>
        </w:rPr>
      </w:pPr>
      <w:r w:rsidRPr="001207E0">
        <w:rPr>
          <w:rFonts w:asciiTheme="minorHAnsi" w:hAnsiTheme="minorHAnsi" w:cstheme="minorHAnsi"/>
        </w:rPr>
        <w:t xml:space="preserve">The Partnership considers that the Review Panel </w:t>
      </w:r>
      <w:r w:rsidR="00011548" w:rsidRPr="001207E0">
        <w:rPr>
          <w:rFonts w:asciiTheme="minorHAnsi" w:hAnsiTheme="minorHAnsi" w:cstheme="minorHAnsi"/>
        </w:rPr>
        <w:t xml:space="preserve">should </w:t>
      </w:r>
      <w:r w:rsidRPr="001207E0">
        <w:rPr>
          <w:rFonts w:asciiTheme="minorHAnsi" w:hAnsiTheme="minorHAnsi" w:cstheme="minorHAnsi"/>
        </w:rPr>
        <w:t xml:space="preserve">have </w:t>
      </w:r>
      <w:r w:rsidR="00D42BD2" w:rsidRPr="001207E0">
        <w:rPr>
          <w:rFonts w:asciiTheme="minorHAnsi" w:hAnsiTheme="minorHAnsi" w:cstheme="minorHAnsi"/>
        </w:rPr>
        <w:t xml:space="preserve">due </w:t>
      </w:r>
      <w:r w:rsidRPr="001207E0">
        <w:rPr>
          <w:rFonts w:asciiTheme="minorHAnsi" w:hAnsiTheme="minorHAnsi" w:cstheme="minorHAnsi"/>
        </w:rPr>
        <w:t>regard to th</w:t>
      </w:r>
      <w:r w:rsidR="00011548" w:rsidRPr="001207E0">
        <w:rPr>
          <w:rFonts w:asciiTheme="minorHAnsi" w:hAnsiTheme="minorHAnsi" w:cstheme="minorHAnsi"/>
        </w:rPr>
        <w:t>e</w:t>
      </w:r>
      <w:r w:rsidRPr="001207E0">
        <w:rPr>
          <w:rFonts w:asciiTheme="minorHAnsi" w:hAnsiTheme="minorHAnsi" w:cstheme="minorHAnsi"/>
        </w:rPr>
        <w:t xml:space="preserve"> </w:t>
      </w:r>
      <w:r w:rsidR="00011548" w:rsidRPr="001207E0">
        <w:rPr>
          <w:rFonts w:asciiTheme="minorHAnsi" w:hAnsiTheme="minorHAnsi" w:cstheme="minorHAnsi"/>
        </w:rPr>
        <w:t xml:space="preserve">question of </w:t>
      </w:r>
      <w:r w:rsidRPr="001207E0">
        <w:rPr>
          <w:rFonts w:asciiTheme="minorHAnsi" w:hAnsiTheme="minorHAnsi" w:cstheme="minorHAnsi"/>
        </w:rPr>
        <w:t>balanc</w:t>
      </w:r>
      <w:r w:rsidR="00011548" w:rsidRPr="001207E0">
        <w:rPr>
          <w:rFonts w:asciiTheme="minorHAnsi" w:hAnsiTheme="minorHAnsi" w:cstheme="minorHAnsi"/>
        </w:rPr>
        <w:t xml:space="preserve">ing the respective roles and priorities of the charity sector </w:t>
      </w:r>
      <w:r w:rsidRPr="001207E0">
        <w:rPr>
          <w:rFonts w:asciiTheme="minorHAnsi" w:hAnsiTheme="minorHAnsi" w:cstheme="minorHAnsi"/>
        </w:rPr>
        <w:t xml:space="preserve">and </w:t>
      </w:r>
      <w:r w:rsidR="00011548" w:rsidRPr="001207E0">
        <w:rPr>
          <w:rFonts w:asciiTheme="minorHAnsi" w:hAnsiTheme="minorHAnsi" w:cstheme="minorHAnsi"/>
        </w:rPr>
        <w:t xml:space="preserve">of government </w:t>
      </w:r>
      <w:r w:rsidRPr="001207E0">
        <w:rPr>
          <w:rFonts w:asciiTheme="minorHAnsi" w:hAnsiTheme="minorHAnsi" w:cstheme="minorHAnsi"/>
        </w:rPr>
        <w:t xml:space="preserve">in shaping its’ final recommendations to Government.  </w:t>
      </w:r>
    </w:p>
    <w:p w:rsidR="001F1DC7" w:rsidRPr="00B76492" w:rsidRDefault="001F1DC7" w:rsidP="008215B4">
      <w:pPr>
        <w:spacing w:before="240" w:after="120" w:line="240" w:lineRule="auto"/>
        <w:rPr>
          <w:rFonts w:asciiTheme="minorHAnsi" w:hAnsiTheme="minorHAnsi" w:cstheme="minorHAnsi"/>
          <w:b/>
          <w:i/>
        </w:rPr>
      </w:pPr>
      <w:r w:rsidRPr="00B76492">
        <w:rPr>
          <w:rFonts w:asciiTheme="minorHAnsi" w:hAnsiTheme="minorHAnsi" w:cstheme="minorHAnsi"/>
          <w:b/>
          <w:i/>
        </w:rPr>
        <w:t>1.2 The role of the ACNC Advisory Board in engaging and connecting with the sector</w:t>
      </w:r>
    </w:p>
    <w:p w:rsidR="00B13CB8" w:rsidRPr="00B76492" w:rsidRDefault="00736087" w:rsidP="008215B4">
      <w:pPr>
        <w:spacing w:before="240" w:after="120" w:line="240" w:lineRule="auto"/>
        <w:rPr>
          <w:rFonts w:asciiTheme="minorHAnsi" w:hAnsiTheme="minorHAnsi" w:cstheme="minorHAnsi"/>
        </w:rPr>
      </w:pPr>
      <w:r w:rsidRPr="00B76492">
        <w:rPr>
          <w:rFonts w:asciiTheme="minorHAnsi" w:hAnsiTheme="minorHAnsi" w:cstheme="minorHAnsi"/>
        </w:rPr>
        <w:t xml:space="preserve">The Partnership notes the submission made to the ACNC review by the ACNC Advisory Board (the Board), and the </w:t>
      </w:r>
      <w:r w:rsidR="00B13CB8" w:rsidRPr="00B76492">
        <w:rPr>
          <w:rFonts w:asciiTheme="minorHAnsi" w:hAnsiTheme="minorHAnsi" w:cstheme="minorHAnsi"/>
        </w:rPr>
        <w:t xml:space="preserve">potential for the Board’s role to be better articulated in the Act to enhance its advice to the Commissioner and </w:t>
      </w:r>
      <w:r w:rsidR="0057637F">
        <w:rPr>
          <w:rFonts w:asciiTheme="minorHAnsi" w:hAnsiTheme="minorHAnsi" w:cstheme="minorHAnsi"/>
        </w:rPr>
        <w:t>the</w:t>
      </w:r>
      <w:r w:rsidR="00B13CB8" w:rsidRPr="00B76492">
        <w:rPr>
          <w:rFonts w:asciiTheme="minorHAnsi" w:hAnsiTheme="minorHAnsi" w:cstheme="minorHAnsi"/>
        </w:rPr>
        <w:t xml:space="preserve"> Minister, and having a broader representation at both a geographical and functional level.</w:t>
      </w:r>
    </w:p>
    <w:p w:rsidR="00736087" w:rsidRPr="00B76492" w:rsidRDefault="00736087" w:rsidP="008215B4">
      <w:pPr>
        <w:spacing w:before="240" w:after="120" w:line="240" w:lineRule="auto"/>
        <w:rPr>
          <w:rFonts w:asciiTheme="minorHAnsi" w:hAnsiTheme="minorHAnsi" w:cstheme="minorHAnsi"/>
        </w:rPr>
      </w:pPr>
      <w:r w:rsidRPr="00B76492">
        <w:rPr>
          <w:rFonts w:asciiTheme="minorHAnsi" w:hAnsiTheme="minorHAnsi" w:cstheme="minorHAnsi"/>
        </w:rPr>
        <w:t xml:space="preserve">The Partnership notes the current ACNC Act </w:t>
      </w:r>
      <w:r w:rsidR="00F12CEC" w:rsidRPr="00B76492">
        <w:rPr>
          <w:rFonts w:asciiTheme="minorHAnsi" w:hAnsiTheme="minorHAnsi" w:cstheme="minorHAnsi"/>
        </w:rPr>
        <w:t xml:space="preserve">appears to </w:t>
      </w:r>
      <w:r w:rsidR="00E35162" w:rsidRPr="00B76492">
        <w:rPr>
          <w:rFonts w:asciiTheme="minorHAnsi" w:hAnsiTheme="minorHAnsi" w:cstheme="minorHAnsi"/>
        </w:rPr>
        <w:t xml:space="preserve">limit </w:t>
      </w:r>
      <w:r w:rsidR="00F12CEC" w:rsidRPr="00B76492">
        <w:rPr>
          <w:rFonts w:asciiTheme="minorHAnsi" w:hAnsiTheme="minorHAnsi" w:cstheme="minorHAnsi"/>
        </w:rPr>
        <w:t>the current role of the Board and its potential to assist the ACNC to engage and connect with the sector, and to deliver valuable insights and advice to the Commissioner and to the Minister:</w:t>
      </w:r>
    </w:p>
    <w:p w:rsidR="00B55FDA" w:rsidRPr="00B76492" w:rsidRDefault="00E35162" w:rsidP="005131E3">
      <w:pPr>
        <w:pStyle w:val="ListParagraph"/>
        <w:numPr>
          <w:ilvl w:val="0"/>
          <w:numId w:val="37"/>
        </w:numPr>
        <w:spacing w:before="120" w:after="120" w:line="240" w:lineRule="auto"/>
        <w:ind w:left="714" w:hanging="357"/>
        <w:contextualSpacing w:val="0"/>
        <w:rPr>
          <w:rFonts w:asciiTheme="minorHAnsi" w:hAnsiTheme="minorHAnsi" w:cstheme="minorHAnsi"/>
        </w:rPr>
      </w:pPr>
      <w:r w:rsidRPr="00B76492">
        <w:rPr>
          <w:rFonts w:asciiTheme="minorHAnsi" w:hAnsiTheme="minorHAnsi" w:cstheme="minorHAnsi"/>
        </w:rPr>
        <w:t xml:space="preserve">Section </w:t>
      </w:r>
      <w:r w:rsidR="00B55FDA" w:rsidRPr="00B76492">
        <w:rPr>
          <w:rFonts w:asciiTheme="minorHAnsi" w:hAnsiTheme="minorHAnsi" w:cstheme="minorHAnsi"/>
        </w:rPr>
        <w:t xml:space="preserve">110-20 of the ACNC Act places no obligation on the Commissioner to </w:t>
      </w:r>
      <w:r w:rsidRPr="00B76492">
        <w:rPr>
          <w:rFonts w:asciiTheme="minorHAnsi" w:hAnsiTheme="minorHAnsi" w:cstheme="minorHAnsi"/>
        </w:rPr>
        <w:t xml:space="preserve">have regard to the </w:t>
      </w:r>
      <w:r w:rsidR="00B55FDA" w:rsidRPr="00B76492">
        <w:rPr>
          <w:rFonts w:asciiTheme="minorHAnsi" w:hAnsiTheme="minorHAnsi" w:cstheme="minorHAnsi"/>
        </w:rPr>
        <w:t xml:space="preserve">Board’s </w:t>
      </w:r>
      <w:r w:rsidRPr="00B76492">
        <w:rPr>
          <w:rFonts w:asciiTheme="minorHAnsi" w:hAnsiTheme="minorHAnsi" w:cstheme="minorHAnsi"/>
        </w:rPr>
        <w:t xml:space="preserve">advice and recommendations given to </w:t>
      </w:r>
      <w:r w:rsidR="0057637F">
        <w:rPr>
          <w:rFonts w:asciiTheme="minorHAnsi" w:hAnsiTheme="minorHAnsi" w:cstheme="minorHAnsi"/>
        </w:rPr>
        <w:t>them,</w:t>
      </w:r>
      <w:r w:rsidR="00B55FDA" w:rsidRPr="00B76492">
        <w:rPr>
          <w:rFonts w:asciiTheme="minorHAnsi" w:hAnsiTheme="minorHAnsi" w:cstheme="minorHAnsi"/>
        </w:rPr>
        <w:t xml:space="preserve"> or to </w:t>
      </w:r>
      <w:r w:rsidRPr="00B76492">
        <w:rPr>
          <w:rFonts w:asciiTheme="minorHAnsi" w:hAnsiTheme="minorHAnsi" w:cstheme="minorHAnsi"/>
        </w:rPr>
        <w:t xml:space="preserve"> attend Advisory Board meetings</w:t>
      </w:r>
      <w:r w:rsidR="00EC0FBB" w:rsidRPr="00B76492">
        <w:rPr>
          <w:rFonts w:asciiTheme="minorHAnsi" w:hAnsiTheme="minorHAnsi" w:cstheme="minorHAnsi"/>
        </w:rPr>
        <w:t>, and</w:t>
      </w:r>
    </w:p>
    <w:p w:rsidR="00B4676C" w:rsidRPr="00B76492" w:rsidRDefault="00E35162" w:rsidP="005131E3">
      <w:pPr>
        <w:pStyle w:val="ListParagraph"/>
        <w:numPr>
          <w:ilvl w:val="0"/>
          <w:numId w:val="37"/>
        </w:numPr>
        <w:spacing w:before="120" w:after="120" w:line="240" w:lineRule="auto"/>
        <w:contextualSpacing w:val="0"/>
        <w:rPr>
          <w:rFonts w:asciiTheme="minorHAnsi" w:hAnsiTheme="minorHAnsi" w:cstheme="minorHAnsi"/>
        </w:rPr>
      </w:pPr>
      <w:r w:rsidRPr="00B76492">
        <w:rPr>
          <w:rFonts w:asciiTheme="minorHAnsi" w:hAnsiTheme="minorHAnsi" w:cstheme="minorHAnsi"/>
        </w:rPr>
        <w:t xml:space="preserve"> </w:t>
      </w:r>
      <w:r w:rsidR="00B55FDA" w:rsidRPr="00B76492">
        <w:rPr>
          <w:rFonts w:asciiTheme="minorHAnsi" w:hAnsiTheme="minorHAnsi" w:cstheme="minorHAnsi"/>
        </w:rPr>
        <w:t>Selection 135</w:t>
      </w:r>
      <w:r w:rsidR="00B4676C" w:rsidRPr="00B76492">
        <w:rPr>
          <w:rFonts w:asciiTheme="minorHAnsi" w:hAnsiTheme="minorHAnsi" w:cstheme="minorHAnsi"/>
        </w:rPr>
        <w:t>-15</w:t>
      </w:r>
      <w:r w:rsidR="00B55FDA" w:rsidRPr="00B76492">
        <w:rPr>
          <w:rFonts w:asciiTheme="minorHAnsi" w:hAnsiTheme="minorHAnsi" w:cstheme="minorHAnsi"/>
        </w:rPr>
        <w:t xml:space="preserve"> of the ACNC Act </w:t>
      </w:r>
      <w:r w:rsidR="00B4676C" w:rsidRPr="00B76492">
        <w:rPr>
          <w:rFonts w:asciiTheme="minorHAnsi" w:hAnsiTheme="minorHAnsi" w:cstheme="minorHAnsi"/>
        </w:rPr>
        <w:t xml:space="preserve">specifies the powers and functions of the Board, and that the Board’s ability to provide advice and make recommendations to the Commissioner can only be done at </w:t>
      </w:r>
      <w:r w:rsidR="0057637F">
        <w:rPr>
          <w:rFonts w:asciiTheme="minorHAnsi" w:hAnsiTheme="minorHAnsi" w:cstheme="minorHAnsi"/>
        </w:rPr>
        <w:t>their</w:t>
      </w:r>
      <w:r w:rsidR="00B4676C" w:rsidRPr="00B76492">
        <w:rPr>
          <w:rFonts w:asciiTheme="minorHAnsi" w:hAnsiTheme="minorHAnsi" w:cstheme="minorHAnsi"/>
        </w:rPr>
        <w:t xml:space="preserve"> request</w:t>
      </w:r>
      <w:r w:rsidR="00EC0FBB" w:rsidRPr="00B76492">
        <w:rPr>
          <w:rFonts w:asciiTheme="minorHAnsi" w:hAnsiTheme="minorHAnsi" w:cstheme="minorHAnsi"/>
        </w:rPr>
        <w:t>.</w:t>
      </w:r>
    </w:p>
    <w:p w:rsidR="00361EBC" w:rsidRPr="00FF2B1C" w:rsidRDefault="00361EBC" w:rsidP="008215B4">
      <w:pPr>
        <w:spacing w:before="240" w:after="120" w:line="240" w:lineRule="auto"/>
        <w:rPr>
          <w:rFonts w:asciiTheme="minorHAnsi" w:hAnsiTheme="minorHAnsi" w:cstheme="minorHAnsi"/>
        </w:rPr>
      </w:pPr>
      <w:r w:rsidRPr="00FF2B1C">
        <w:rPr>
          <w:rFonts w:asciiTheme="minorHAnsi" w:hAnsiTheme="minorHAnsi" w:cstheme="minorHAnsi"/>
        </w:rPr>
        <w:t xml:space="preserve">The Partnership considers that the Review Panel should </w:t>
      </w:r>
      <w:r w:rsidR="00B13CB8" w:rsidRPr="00FF2B1C">
        <w:rPr>
          <w:rFonts w:asciiTheme="minorHAnsi" w:hAnsiTheme="minorHAnsi" w:cstheme="minorHAnsi"/>
        </w:rPr>
        <w:t>review those sections (110-20 and 135-15) of the ACNC Act that limit the operation and effectiveness of the ACNC Advisory Board</w:t>
      </w:r>
      <w:r w:rsidRPr="00FF2B1C">
        <w:rPr>
          <w:rFonts w:asciiTheme="minorHAnsi" w:hAnsiTheme="minorHAnsi" w:cstheme="minorHAnsi"/>
        </w:rPr>
        <w:t xml:space="preserve">, </w:t>
      </w:r>
      <w:r w:rsidR="00B13CB8" w:rsidRPr="00FF2B1C">
        <w:rPr>
          <w:rFonts w:asciiTheme="minorHAnsi" w:hAnsiTheme="minorHAnsi" w:cstheme="minorHAnsi"/>
        </w:rPr>
        <w:t xml:space="preserve">so as </w:t>
      </w:r>
      <w:r w:rsidRPr="00FF2B1C">
        <w:rPr>
          <w:rFonts w:asciiTheme="minorHAnsi" w:hAnsiTheme="minorHAnsi" w:cstheme="minorHAnsi"/>
        </w:rPr>
        <w:t>to</w:t>
      </w:r>
    </w:p>
    <w:p w:rsidR="00361EBC" w:rsidRPr="00FF2B1C" w:rsidRDefault="00361EBC" w:rsidP="005131E3">
      <w:pPr>
        <w:pStyle w:val="ListParagraph"/>
        <w:numPr>
          <w:ilvl w:val="0"/>
          <w:numId w:val="38"/>
        </w:numPr>
        <w:spacing w:before="120" w:after="120" w:line="240" w:lineRule="auto"/>
        <w:ind w:left="714" w:hanging="357"/>
        <w:contextualSpacing w:val="0"/>
        <w:rPr>
          <w:rFonts w:asciiTheme="minorHAnsi" w:hAnsiTheme="minorHAnsi" w:cstheme="minorHAnsi"/>
        </w:rPr>
      </w:pPr>
      <w:r w:rsidRPr="00FF2B1C">
        <w:rPr>
          <w:rFonts w:asciiTheme="minorHAnsi" w:hAnsiTheme="minorHAnsi" w:cstheme="minorHAnsi"/>
        </w:rPr>
        <w:t xml:space="preserve">enhance its ability to engage and connect with </w:t>
      </w:r>
      <w:r w:rsidR="00104C52" w:rsidRPr="00FF2B1C">
        <w:rPr>
          <w:rFonts w:asciiTheme="minorHAnsi" w:hAnsiTheme="minorHAnsi" w:cstheme="minorHAnsi"/>
        </w:rPr>
        <w:t xml:space="preserve">a highly diverse and </w:t>
      </w:r>
      <w:r w:rsidRPr="00FF2B1C">
        <w:rPr>
          <w:rFonts w:asciiTheme="minorHAnsi" w:hAnsiTheme="minorHAnsi" w:cstheme="minorHAnsi"/>
        </w:rPr>
        <w:t xml:space="preserve">evolving sector </w:t>
      </w:r>
    </w:p>
    <w:p w:rsidR="00617A8E" w:rsidRPr="00FF2B1C" w:rsidRDefault="0042674D" w:rsidP="005131E3">
      <w:pPr>
        <w:pStyle w:val="ListParagraph"/>
        <w:numPr>
          <w:ilvl w:val="0"/>
          <w:numId w:val="38"/>
        </w:numPr>
        <w:spacing w:before="120" w:after="120" w:line="240" w:lineRule="auto"/>
        <w:ind w:left="714" w:hanging="357"/>
        <w:contextualSpacing w:val="0"/>
        <w:rPr>
          <w:rFonts w:asciiTheme="minorHAnsi" w:hAnsiTheme="minorHAnsi" w:cstheme="minorHAnsi"/>
        </w:rPr>
      </w:pPr>
      <w:r w:rsidRPr="00FF2B1C">
        <w:rPr>
          <w:rFonts w:asciiTheme="minorHAnsi" w:hAnsiTheme="minorHAnsi" w:cstheme="minorHAnsi"/>
        </w:rPr>
        <w:t>build effective partnerships and alliances with sector</w:t>
      </w:r>
      <w:r w:rsidR="00025691" w:rsidRPr="00FF2B1C">
        <w:rPr>
          <w:rFonts w:asciiTheme="minorHAnsi" w:hAnsiTheme="minorHAnsi" w:cstheme="minorHAnsi"/>
        </w:rPr>
        <w:t xml:space="preserve"> peak bodies, research bodies and other relevant government advisory groups, such as the Partnership</w:t>
      </w:r>
      <w:r w:rsidRPr="00FF2B1C">
        <w:rPr>
          <w:rFonts w:asciiTheme="minorHAnsi" w:hAnsiTheme="minorHAnsi" w:cstheme="minorHAnsi"/>
        </w:rPr>
        <w:t xml:space="preserve"> </w:t>
      </w:r>
    </w:p>
    <w:p w:rsidR="00361EBC" w:rsidRPr="00FF2B1C" w:rsidRDefault="00361EBC" w:rsidP="005131E3">
      <w:pPr>
        <w:pStyle w:val="ListParagraph"/>
        <w:numPr>
          <w:ilvl w:val="0"/>
          <w:numId w:val="38"/>
        </w:numPr>
        <w:spacing w:before="120" w:after="120" w:line="240" w:lineRule="auto"/>
        <w:ind w:left="714" w:hanging="357"/>
        <w:contextualSpacing w:val="0"/>
        <w:rPr>
          <w:rFonts w:asciiTheme="minorHAnsi" w:hAnsiTheme="minorHAnsi" w:cstheme="minorHAnsi"/>
        </w:rPr>
      </w:pPr>
      <w:r w:rsidRPr="00FF2B1C">
        <w:rPr>
          <w:rFonts w:asciiTheme="minorHAnsi" w:hAnsiTheme="minorHAnsi" w:cstheme="minorHAnsi"/>
        </w:rPr>
        <w:t xml:space="preserve">ensure it has appropriate </w:t>
      </w:r>
      <w:r w:rsidR="003427E0" w:rsidRPr="00FF2B1C">
        <w:rPr>
          <w:rFonts w:asciiTheme="minorHAnsi" w:hAnsiTheme="minorHAnsi" w:cstheme="minorHAnsi"/>
        </w:rPr>
        <w:t xml:space="preserve">and balanced </w:t>
      </w:r>
      <w:r w:rsidR="00104C52" w:rsidRPr="00FF2B1C">
        <w:rPr>
          <w:rFonts w:asciiTheme="minorHAnsi" w:hAnsiTheme="minorHAnsi" w:cstheme="minorHAnsi"/>
        </w:rPr>
        <w:t>Board r</w:t>
      </w:r>
      <w:r w:rsidRPr="00FF2B1C">
        <w:rPr>
          <w:rFonts w:asciiTheme="minorHAnsi" w:hAnsiTheme="minorHAnsi" w:cstheme="minorHAnsi"/>
        </w:rPr>
        <w:t>epresentation from the sector, donors and investors</w:t>
      </w:r>
      <w:r w:rsidR="00FF2B1C" w:rsidRPr="00FF2B1C">
        <w:rPr>
          <w:rFonts w:asciiTheme="minorHAnsi" w:hAnsiTheme="minorHAnsi" w:cstheme="minorHAnsi"/>
        </w:rPr>
        <w:t xml:space="preserve"> and</w:t>
      </w:r>
      <w:r w:rsidR="003427E0" w:rsidRPr="00FF2B1C">
        <w:rPr>
          <w:rFonts w:asciiTheme="minorHAnsi" w:hAnsiTheme="minorHAnsi" w:cstheme="minorHAnsi"/>
        </w:rPr>
        <w:t xml:space="preserve"> </w:t>
      </w:r>
      <w:r w:rsidRPr="00FF2B1C">
        <w:rPr>
          <w:rFonts w:asciiTheme="minorHAnsi" w:hAnsiTheme="minorHAnsi" w:cstheme="minorHAnsi"/>
        </w:rPr>
        <w:t>government, and</w:t>
      </w:r>
    </w:p>
    <w:p w:rsidR="00F12CEC" w:rsidRPr="00FF2B1C" w:rsidRDefault="00A82EF4" w:rsidP="005131E3">
      <w:pPr>
        <w:pStyle w:val="ListParagraph"/>
        <w:numPr>
          <w:ilvl w:val="0"/>
          <w:numId w:val="38"/>
        </w:numPr>
        <w:spacing w:before="120" w:after="120" w:line="240" w:lineRule="auto"/>
        <w:ind w:left="714" w:hanging="357"/>
        <w:contextualSpacing w:val="0"/>
        <w:rPr>
          <w:rFonts w:asciiTheme="minorHAnsi" w:hAnsiTheme="minorHAnsi" w:cstheme="minorHAnsi"/>
        </w:rPr>
      </w:pPr>
      <w:r w:rsidRPr="00FF2B1C">
        <w:rPr>
          <w:rFonts w:asciiTheme="minorHAnsi" w:hAnsiTheme="minorHAnsi" w:cstheme="minorHAnsi"/>
        </w:rPr>
        <w:t xml:space="preserve">enable it to </w:t>
      </w:r>
      <w:r w:rsidR="00361EBC" w:rsidRPr="00FF2B1C">
        <w:rPr>
          <w:rFonts w:asciiTheme="minorHAnsi" w:hAnsiTheme="minorHAnsi" w:cstheme="minorHAnsi"/>
        </w:rPr>
        <w:t>deliver valuable insights and advice to the Commissioner and to the Minister</w:t>
      </w:r>
      <w:r w:rsidRPr="00FF2B1C">
        <w:rPr>
          <w:rFonts w:asciiTheme="minorHAnsi" w:hAnsiTheme="minorHAnsi" w:cstheme="minorHAnsi"/>
        </w:rPr>
        <w:t>, whether on request or self-initiated</w:t>
      </w:r>
      <w:r w:rsidR="00361EBC" w:rsidRPr="00FF2B1C">
        <w:rPr>
          <w:rFonts w:asciiTheme="minorHAnsi" w:hAnsiTheme="minorHAnsi" w:cstheme="minorHAnsi"/>
        </w:rPr>
        <w:t xml:space="preserve">. </w:t>
      </w:r>
    </w:p>
    <w:p w:rsidR="00F54F9F" w:rsidRPr="00F54F9F" w:rsidRDefault="00F54F9F" w:rsidP="008215B4">
      <w:pPr>
        <w:spacing w:before="240" w:after="120" w:line="240" w:lineRule="auto"/>
        <w:rPr>
          <w:rFonts w:asciiTheme="minorHAnsi" w:hAnsiTheme="minorHAnsi" w:cstheme="minorHAnsi"/>
        </w:rPr>
      </w:pPr>
      <w:r w:rsidRPr="00F54F9F">
        <w:rPr>
          <w:rFonts w:asciiTheme="minorHAnsi" w:hAnsiTheme="minorHAnsi" w:cstheme="minorHAnsi"/>
        </w:rPr>
        <w:t xml:space="preserve">The Review Panel should consider whether the Board </w:t>
      </w:r>
      <w:r w:rsidR="00654355">
        <w:rPr>
          <w:rFonts w:asciiTheme="minorHAnsi" w:hAnsiTheme="minorHAnsi" w:cstheme="minorHAnsi"/>
        </w:rPr>
        <w:t>should be Ministerially appointed, but ensure all stakeholders views are reflected in its’ membership and with some capacity to co-op</w:t>
      </w:r>
      <w:r w:rsidR="00C00532">
        <w:rPr>
          <w:rFonts w:asciiTheme="minorHAnsi" w:hAnsiTheme="minorHAnsi" w:cstheme="minorHAnsi"/>
        </w:rPr>
        <w:t>t</w:t>
      </w:r>
      <w:r w:rsidR="00654355">
        <w:rPr>
          <w:rFonts w:asciiTheme="minorHAnsi" w:hAnsiTheme="minorHAnsi" w:cstheme="minorHAnsi"/>
        </w:rPr>
        <w:t xml:space="preserve"> youth or Indigenous representatives or particular subject matter experts on a rotating or as needs basis. </w:t>
      </w:r>
    </w:p>
    <w:p w:rsidR="00D8415D" w:rsidRPr="001207E0" w:rsidRDefault="001F1DC7" w:rsidP="008215B4">
      <w:pPr>
        <w:spacing w:before="240" w:after="120" w:line="240" w:lineRule="auto"/>
        <w:rPr>
          <w:rFonts w:asciiTheme="minorHAnsi" w:hAnsiTheme="minorHAnsi" w:cstheme="minorHAnsi"/>
          <w:b/>
          <w:i/>
        </w:rPr>
      </w:pPr>
      <w:r>
        <w:rPr>
          <w:rFonts w:asciiTheme="minorHAnsi" w:hAnsiTheme="minorHAnsi" w:cstheme="minorHAnsi"/>
          <w:b/>
          <w:i/>
        </w:rPr>
        <w:t>1.3</w:t>
      </w:r>
      <w:r w:rsidR="00377F6C" w:rsidRPr="001207E0">
        <w:rPr>
          <w:rFonts w:asciiTheme="minorHAnsi" w:hAnsiTheme="minorHAnsi" w:cstheme="minorHAnsi"/>
          <w:b/>
          <w:i/>
        </w:rPr>
        <w:t xml:space="preserve"> </w:t>
      </w:r>
      <w:r w:rsidR="00433CFA" w:rsidRPr="001207E0">
        <w:rPr>
          <w:rFonts w:asciiTheme="minorHAnsi" w:hAnsiTheme="minorHAnsi" w:cstheme="minorHAnsi"/>
          <w:b/>
          <w:i/>
        </w:rPr>
        <w:t xml:space="preserve">Core </w:t>
      </w:r>
      <w:r w:rsidR="00912874" w:rsidRPr="001207E0">
        <w:rPr>
          <w:rFonts w:asciiTheme="minorHAnsi" w:hAnsiTheme="minorHAnsi" w:cstheme="minorHAnsi"/>
          <w:b/>
          <w:i/>
        </w:rPr>
        <w:t xml:space="preserve">principles </w:t>
      </w:r>
      <w:r w:rsidR="00C47288" w:rsidRPr="001207E0">
        <w:rPr>
          <w:rFonts w:asciiTheme="minorHAnsi" w:hAnsiTheme="minorHAnsi" w:cstheme="minorHAnsi"/>
          <w:b/>
          <w:i/>
        </w:rPr>
        <w:t xml:space="preserve">and key values </w:t>
      </w:r>
      <w:r w:rsidR="00912874" w:rsidRPr="001207E0">
        <w:rPr>
          <w:rFonts w:asciiTheme="minorHAnsi" w:hAnsiTheme="minorHAnsi" w:cstheme="minorHAnsi"/>
          <w:b/>
          <w:i/>
        </w:rPr>
        <w:t xml:space="preserve">to ensure </w:t>
      </w:r>
      <w:r w:rsidR="00433CFA" w:rsidRPr="001207E0">
        <w:rPr>
          <w:rFonts w:asciiTheme="minorHAnsi" w:hAnsiTheme="minorHAnsi" w:cstheme="minorHAnsi"/>
          <w:b/>
          <w:i/>
        </w:rPr>
        <w:t>balance in the regulatory framework</w:t>
      </w:r>
    </w:p>
    <w:p w:rsidR="00DA037E" w:rsidRPr="001207E0" w:rsidRDefault="00CC00DB" w:rsidP="00D572E9">
      <w:pPr>
        <w:spacing w:before="120" w:after="120" w:line="240" w:lineRule="auto"/>
        <w:rPr>
          <w:rFonts w:asciiTheme="minorHAnsi" w:hAnsiTheme="minorHAnsi" w:cstheme="minorHAnsi"/>
        </w:rPr>
      </w:pPr>
      <w:r w:rsidRPr="001207E0">
        <w:rPr>
          <w:rFonts w:asciiTheme="minorHAnsi" w:hAnsiTheme="minorHAnsi" w:cstheme="minorHAnsi"/>
        </w:rPr>
        <w:t>T</w:t>
      </w:r>
      <w:r w:rsidR="00AA794C" w:rsidRPr="001207E0">
        <w:rPr>
          <w:rFonts w:asciiTheme="minorHAnsi" w:hAnsiTheme="minorHAnsi" w:cstheme="minorHAnsi"/>
        </w:rPr>
        <w:t xml:space="preserve">he </w:t>
      </w:r>
      <w:r w:rsidR="005C4AAF" w:rsidRPr="001207E0">
        <w:rPr>
          <w:rFonts w:asciiTheme="minorHAnsi" w:hAnsiTheme="minorHAnsi" w:cstheme="minorHAnsi"/>
        </w:rPr>
        <w:t xml:space="preserve">Partnership notes that </w:t>
      </w:r>
      <w:r w:rsidR="008576C9">
        <w:rPr>
          <w:rFonts w:asciiTheme="minorHAnsi" w:hAnsiTheme="minorHAnsi" w:cstheme="minorHAnsi"/>
        </w:rPr>
        <w:t>six</w:t>
      </w:r>
      <w:r w:rsidR="00C47288" w:rsidRPr="001207E0">
        <w:rPr>
          <w:rFonts w:asciiTheme="minorHAnsi" w:hAnsiTheme="minorHAnsi" w:cstheme="minorHAnsi"/>
        </w:rPr>
        <w:t xml:space="preserve"> key values underpin the current ACNC regulatory approac</w:t>
      </w:r>
      <w:r w:rsidR="00DA037E" w:rsidRPr="001207E0">
        <w:rPr>
          <w:rFonts w:asciiTheme="minorHAnsi" w:hAnsiTheme="minorHAnsi" w:cstheme="minorHAnsi"/>
        </w:rPr>
        <w:t>h: fairness, accountability and transparency, independence, integrity and respect.  These values are, in turn, underpinned by three core regulatory principles (stipulated in the principal Act</w:t>
      </w:r>
      <w:r w:rsidR="00FC6FBE" w:rsidRPr="001207E0">
        <w:rPr>
          <w:rFonts w:asciiTheme="minorHAnsi" w:hAnsiTheme="minorHAnsi" w:cstheme="minorHAnsi"/>
        </w:rPr>
        <w:t>,</w:t>
      </w:r>
      <w:r w:rsidR="00DA037E" w:rsidRPr="001207E0">
        <w:rPr>
          <w:rFonts w:asciiTheme="minorHAnsi" w:hAnsiTheme="minorHAnsi" w:cstheme="minorHAnsi"/>
        </w:rPr>
        <w:t xml:space="preserve"> 15-10):</w:t>
      </w:r>
    </w:p>
    <w:p w:rsidR="00D572E9" w:rsidRPr="001207E0" w:rsidRDefault="00733448" w:rsidP="00196C84">
      <w:pPr>
        <w:pStyle w:val="ListParagraph"/>
        <w:numPr>
          <w:ilvl w:val="0"/>
          <w:numId w:val="21"/>
        </w:numPr>
        <w:spacing w:before="120" w:after="120" w:line="240" w:lineRule="auto"/>
        <w:ind w:left="357" w:hanging="357"/>
        <w:contextualSpacing w:val="0"/>
        <w:rPr>
          <w:rFonts w:asciiTheme="minorHAnsi" w:hAnsiTheme="minorHAnsi" w:cstheme="minorHAnsi"/>
        </w:rPr>
      </w:pPr>
      <w:r w:rsidRPr="001207E0">
        <w:rPr>
          <w:rFonts w:asciiTheme="minorHAnsi" w:hAnsiTheme="minorHAnsi" w:cstheme="minorHAnsi"/>
          <w:i/>
        </w:rPr>
        <w:t>R</w:t>
      </w:r>
      <w:r w:rsidR="00CD290C" w:rsidRPr="001207E0">
        <w:rPr>
          <w:rFonts w:asciiTheme="minorHAnsi" w:hAnsiTheme="minorHAnsi" w:cstheme="minorHAnsi"/>
          <w:i/>
        </w:rPr>
        <w:t>egulatory necessity</w:t>
      </w:r>
      <w:r w:rsidR="00C1339E" w:rsidRPr="001207E0">
        <w:rPr>
          <w:rFonts w:asciiTheme="minorHAnsi" w:hAnsiTheme="minorHAnsi" w:cstheme="minorHAnsi"/>
        </w:rPr>
        <w:t xml:space="preserve"> - </w:t>
      </w:r>
      <w:r w:rsidR="00286D10" w:rsidRPr="001207E0">
        <w:rPr>
          <w:rFonts w:asciiTheme="minorHAnsi" w:hAnsiTheme="minorHAnsi" w:cstheme="minorHAnsi"/>
        </w:rPr>
        <w:t>M</w:t>
      </w:r>
      <w:r w:rsidRPr="001207E0">
        <w:rPr>
          <w:rFonts w:asciiTheme="minorHAnsi" w:hAnsiTheme="minorHAnsi" w:cstheme="minorHAnsi"/>
        </w:rPr>
        <w:t>inimise regulatory requirements to those necessary to enable assessment of compliance with the ACNC Act and Regulation</w:t>
      </w:r>
      <w:r w:rsidR="00286D10" w:rsidRPr="001207E0">
        <w:rPr>
          <w:rFonts w:asciiTheme="minorHAnsi" w:hAnsiTheme="minorHAnsi" w:cstheme="minorHAnsi"/>
        </w:rPr>
        <w:t>s and</w:t>
      </w:r>
      <w:r w:rsidR="00286D10" w:rsidRPr="001207E0">
        <w:t xml:space="preserve"> </w:t>
      </w:r>
      <w:r w:rsidR="00286D10" w:rsidRPr="001207E0">
        <w:rPr>
          <w:rFonts w:asciiTheme="minorHAnsi" w:hAnsiTheme="minorHAnsi" w:cstheme="minorHAnsi"/>
        </w:rPr>
        <w:t>not burden charities any more than is reasonably</w:t>
      </w:r>
      <w:r w:rsidR="00154D56" w:rsidRPr="001207E0">
        <w:rPr>
          <w:rFonts w:asciiTheme="minorHAnsi" w:hAnsiTheme="minorHAnsi" w:cstheme="minorHAnsi"/>
        </w:rPr>
        <w:t xml:space="preserve"> necessary in the circumstances</w:t>
      </w:r>
    </w:p>
    <w:p w:rsidR="00D572E9" w:rsidRPr="001207E0" w:rsidRDefault="00733448" w:rsidP="00196C84">
      <w:pPr>
        <w:pStyle w:val="ListParagraph"/>
        <w:numPr>
          <w:ilvl w:val="0"/>
          <w:numId w:val="21"/>
        </w:numPr>
        <w:spacing w:before="120" w:after="120" w:line="240" w:lineRule="auto"/>
        <w:ind w:left="357" w:hanging="357"/>
        <w:contextualSpacing w:val="0"/>
        <w:rPr>
          <w:rFonts w:asciiTheme="minorHAnsi" w:hAnsiTheme="minorHAnsi" w:cstheme="minorHAnsi"/>
        </w:rPr>
      </w:pPr>
      <w:r w:rsidRPr="001207E0">
        <w:rPr>
          <w:rFonts w:asciiTheme="minorHAnsi" w:hAnsiTheme="minorHAnsi" w:cstheme="minorHAnsi"/>
          <w:i/>
        </w:rPr>
        <w:t>R</w:t>
      </w:r>
      <w:r w:rsidR="00CD290C" w:rsidRPr="001207E0">
        <w:rPr>
          <w:rFonts w:asciiTheme="minorHAnsi" w:hAnsiTheme="minorHAnsi" w:cstheme="minorHAnsi"/>
          <w:i/>
        </w:rPr>
        <w:t>eflecting risk</w:t>
      </w:r>
      <w:r w:rsidR="00C1339E" w:rsidRPr="001207E0">
        <w:rPr>
          <w:rFonts w:asciiTheme="minorHAnsi" w:hAnsiTheme="minorHAnsi" w:cstheme="minorHAnsi"/>
        </w:rPr>
        <w:t xml:space="preserve"> - </w:t>
      </w:r>
      <w:r w:rsidR="00286D10" w:rsidRPr="001207E0">
        <w:rPr>
          <w:rFonts w:asciiTheme="minorHAnsi" w:hAnsiTheme="minorHAnsi" w:cstheme="minorHAnsi"/>
        </w:rPr>
        <w:t>O</w:t>
      </w:r>
      <w:r w:rsidR="005C4AAF" w:rsidRPr="001207E0">
        <w:rPr>
          <w:rFonts w:asciiTheme="minorHAnsi" w:hAnsiTheme="minorHAnsi" w:cstheme="minorHAnsi"/>
        </w:rPr>
        <w:t>perate under a risk-based regulatory framework</w:t>
      </w:r>
      <w:r w:rsidR="00286D10" w:rsidRPr="001207E0">
        <w:rPr>
          <w:rFonts w:asciiTheme="minorHAnsi" w:hAnsiTheme="minorHAnsi" w:cstheme="minorHAnsi"/>
        </w:rPr>
        <w:t xml:space="preserve"> that </w:t>
      </w:r>
      <w:r w:rsidR="005C4AAF" w:rsidRPr="001207E0">
        <w:rPr>
          <w:rFonts w:asciiTheme="minorHAnsi" w:hAnsiTheme="minorHAnsi" w:cstheme="minorHAnsi"/>
        </w:rPr>
        <w:t>gives consideration to the particular circumstances of different charities and supports them to</w:t>
      </w:r>
      <w:r w:rsidR="00286D10" w:rsidRPr="001207E0">
        <w:rPr>
          <w:rFonts w:asciiTheme="minorHAnsi" w:hAnsiTheme="minorHAnsi" w:cstheme="minorHAnsi"/>
        </w:rPr>
        <w:t xml:space="preserve"> comply with their obligations,</w:t>
      </w:r>
    </w:p>
    <w:p w:rsidR="00FC6B2F" w:rsidRPr="001207E0" w:rsidRDefault="00733448" w:rsidP="00196C84">
      <w:pPr>
        <w:pStyle w:val="ListParagraph"/>
        <w:numPr>
          <w:ilvl w:val="0"/>
          <w:numId w:val="21"/>
        </w:numPr>
        <w:spacing w:before="120" w:after="120" w:line="240" w:lineRule="auto"/>
        <w:ind w:left="357" w:hanging="357"/>
        <w:contextualSpacing w:val="0"/>
        <w:rPr>
          <w:rFonts w:asciiTheme="minorHAnsi" w:hAnsiTheme="minorHAnsi" w:cstheme="minorHAnsi"/>
        </w:rPr>
      </w:pPr>
      <w:r w:rsidRPr="001207E0">
        <w:rPr>
          <w:rFonts w:asciiTheme="minorHAnsi" w:hAnsiTheme="minorHAnsi" w:cstheme="minorHAnsi"/>
          <w:i/>
        </w:rPr>
        <w:t>P</w:t>
      </w:r>
      <w:r w:rsidR="00CD290C" w:rsidRPr="001207E0">
        <w:rPr>
          <w:rFonts w:asciiTheme="minorHAnsi" w:hAnsiTheme="minorHAnsi" w:cstheme="minorHAnsi"/>
          <w:i/>
        </w:rPr>
        <w:t>roportionate regulation</w:t>
      </w:r>
      <w:r w:rsidR="00C1339E" w:rsidRPr="001207E0">
        <w:rPr>
          <w:rFonts w:asciiTheme="minorHAnsi" w:hAnsiTheme="minorHAnsi" w:cstheme="minorHAnsi"/>
        </w:rPr>
        <w:t xml:space="preserve"> - </w:t>
      </w:r>
      <w:r w:rsidR="00286D10" w:rsidRPr="001207E0">
        <w:rPr>
          <w:rFonts w:asciiTheme="minorHAnsi" w:hAnsiTheme="minorHAnsi" w:cstheme="minorHAnsi"/>
        </w:rPr>
        <w:t>R</w:t>
      </w:r>
      <w:r w:rsidR="005C4AAF" w:rsidRPr="001207E0">
        <w:rPr>
          <w:rFonts w:asciiTheme="minorHAnsi" w:hAnsiTheme="minorHAnsi" w:cstheme="minorHAnsi"/>
        </w:rPr>
        <w:t>egulatory actions are proportionate to the problems it seeks to address</w:t>
      </w:r>
      <w:r w:rsidR="00286D10" w:rsidRPr="001207E0">
        <w:rPr>
          <w:rFonts w:asciiTheme="minorHAnsi" w:hAnsiTheme="minorHAnsi" w:cstheme="minorHAnsi"/>
        </w:rPr>
        <w:t>.</w:t>
      </w:r>
      <w:r w:rsidR="00C1339E" w:rsidRPr="001207E0">
        <w:rPr>
          <w:rStyle w:val="FootnoteReference"/>
          <w:rFonts w:asciiTheme="minorHAnsi" w:hAnsiTheme="minorHAnsi" w:cstheme="minorHAnsi"/>
        </w:rPr>
        <w:footnoteReference w:id="8"/>
      </w:r>
    </w:p>
    <w:p w:rsidR="0055424A" w:rsidRPr="0055424A" w:rsidRDefault="0055424A" w:rsidP="0013671B">
      <w:pPr>
        <w:keepNext/>
        <w:spacing w:before="240" w:after="120" w:line="240" w:lineRule="auto"/>
        <w:rPr>
          <w:rFonts w:asciiTheme="minorHAnsi" w:hAnsiTheme="minorHAnsi" w:cstheme="minorHAnsi"/>
        </w:rPr>
      </w:pPr>
      <w:r w:rsidRPr="001207E0">
        <w:rPr>
          <w:rFonts w:asciiTheme="minorHAnsi" w:hAnsiTheme="minorHAnsi" w:cstheme="minorHAnsi"/>
        </w:rPr>
        <w:t>The Partnership</w:t>
      </w:r>
      <w:r w:rsidR="002778EB" w:rsidRPr="001207E0">
        <w:rPr>
          <w:rFonts w:asciiTheme="minorHAnsi" w:hAnsiTheme="minorHAnsi" w:cstheme="minorHAnsi"/>
        </w:rPr>
        <w:t xml:space="preserve"> suggests that th</w:t>
      </w:r>
      <w:r w:rsidRPr="001207E0">
        <w:rPr>
          <w:rFonts w:asciiTheme="minorHAnsi" w:hAnsiTheme="minorHAnsi" w:cstheme="minorHAnsi"/>
        </w:rPr>
        <w:t xml:space="preserve">e Review Panel have </w:t>
      </w:r>
      <w:r w:rsidR="003E4122" w:rsidRPr="001207E0">
        <w:rPr>
          <w:rFonts w:asciiTheme="minorHAnsi" w:hAnsiTheme="minorHAnsi" w:cstheme="minorHAnsi"/>
        </w:rPr>
        <w:t xml:space="preserve">due </w:t>
      </w:r>
      <w:r w:rsidRPr="001207E0">
        <w:rPr>
          <w:rFonts w:asciiTheme="minorHAnsi" w:hAnsiTheme="minorHAnsi" w:cstheme="minorHAnsi"/>
        </w:rPr>
        <w:t xml:space="preserve">regard to </w:t>
      </w:r>
      <w:r w:rsidR="002778EB" w:rsidRPr="001207E0">
        <w:rPr>
          <w:rFonts w:asciiTheme="minorHAnsi" w:hAnsiTheme="minorHAnsi" w:cstheme="minorHAnsi"/>
        </w:rPr>
        <w:t xml:space="preserve">these </w:t>
      </w:r>
      <w:r w:rsidR="00DA037E" w:rsidRPr="001207E0">
        <w:rPr>
          <w:rFonts w:asciiTheme="minorHAnsi" w:hAnsiTheme="minorHAnsi" w:cstheme="minorHAnsi"/>
        </w:rPr>
        <w:t xml:space="preserve">key ACNC values and core </w:t>
      </w:r>
      <w:r w:rsidR="002778EB" w:rsidRPr="001207E0">
        <w:rPr>
          <w:rFonts w:asciiTheme="minorHAnsi" w:hAnsiTheme="minorHAnsi" w:cstheme="minorHAnsi"/>
        </w:rPr>
        <w:t xml:space="preserve">regulatory principles </w:t>
      </w:r>
      <w:r w:rsidR="00D572E9" w:rsidRPr="001207E0">
        <w:rPr>
          <w:rFonts w:asciiTheme="minorHAnsi" w:hAnsiTheme="minorHAnsi" w:cstheme="minorHAnsi"/>
        </w:rPr>
        <w:t xml:space="preserve">in </w:t>
      </w:r>
      <w:r w:rsidR="005C7AAC" w:rsidRPr="001207E0">
        <w:rPr>
          <w:rFonts w:asciiTheme="minorHAnsi" w:hAnsiTheme="minorHAnsi" w:cstheme="minorHAnsi"/>
        </w:rPr>
        <w:t xml:space="preserve">maintaining </w:t>
      </w:r>
      <w:r w:rsidR="002778EB" w:rsidRPr="001207E0">
        <w:rPr>
          <w:rFonts w:asciiTheme="minorHAnsi" w:hAnsiTheme="minorHAnsi" w:cstheme="minorHAnsi"/>
        </w:rPr>
        <w:t xml:space="preserve">a </w:t>
      </w:r>
      <w:r w:rsidRPr="001207E0">
        <w:rPr>
          <w:rFonts w:asciiTheme="minorHAnsi" w:hAnsiTheme="minorHAnsi" w:cstheme="minorHAnsi"/>
        </w:rPr>
        <w:t>f</w:t>
      </w:r>
      <w:r w:rsidR="002778EB" w:rsidRPr="001207E0">
        <w:rPr>
          <w:rFonts w:asciiTheme="minorHAnsi" w:hAnsiTheme="minorHAnsi" w:cstheme="minorHAnsi"/>
        </w:rPr>
        <w:t xml:space="preserve">air and reasonable </w:t>
      </w:r>
      <w:r w:rsidRPr="001207E0">
        <w:rPr>
          <w:rFonts w:asciiTheme="minorHAnsi" w:hAnsiTheme="minorHAnsi" w:cstheme="minorHAnsi"/>
        </w:rPr>
        <w:t xml:space="preserve">balance </w:t>
      </w:r>
      <w:r w:rsidR="002778EB" w:rsidRPr="001207E0">
        <w:rPr>
          <w:rFonts w:asciiTheme="minorHAnsi" w:hAnsiTheme="minorHAnsi" w:cstheme="minorHAnsi"/>
        </w:rPr>
        <w:t xml:space="preserve">between </w:t>
      </w:r>
      <w:r w:rsidR="00D572E9" w:rsidRPr="001207E0">
        <w:rPr>
          <w:rFonts w:asciiTheme="minorHAnsi" w:hAnsiTheme="minorHAnsi" w:cstheme="minorHAnsi"/>
        </w:rPr>
        <w:t xml:space="preserve">government </w:t>
      </w:r>
      <w:r w:rsidR="002778EB" w:rsidRPr="001207E0">
        <w:rPr>
          <w:rFonts w:asciiTheme="minorHAnsi" w:hAnsiTheme="minorHAnsi" w:cstheme="minorHAnsi"/>
        </w:rPr>
        <w:t xml:space="preserve">regulation and </w:t>
      </w:r>
      <w:r w:rsidR="00D572E9" w:rsidRPr="001207E0">
        <w:rPr>
          <w:rFonts w:asciiTheme="minorHAnsi" w:hAnsiTheme="minorHAnsi" w:cstheme="minorHAnsi"/>
        </w:rPr>
        <w:t xml:space="preserve">control and </w:t>
      </w:r>
      <w:r w:rsidR="002778EB" w:rsidRPr="001207E0">
        <w:rPr>
          <w:rFonts w:asciiTheme="minorHAnsi" w:hAnsiTheme="minorHAnsi" w:cstheme="minorHAnsi"/>
        </w:rPr>
        <w:t xml:space="preserve">sector independence and flexibility </w:t>
      </w:r>
      <w:r w:rsidRPr="001207E0">
        <w:rPr>
          <w:rFonts w:asciiTheme="minorHAnsi" w:hAnsiTheme="minorHAnsi" w:cstheme="minorHAnsi"/>
        </w:rPr>
        <w:t>in shaping its’ final recommendations to Government.</w:t>
      </w:r>
    </w:p>
    <w:p w:rsidR="00250D56" w:rsidRDefault="00250D56" w:rsidP="0013671B">
      <w:pPr>
        <w:spacing w:before="120" w:after="0" w:line="240" w:lineRule="auto"/>
        <w:rPr>
          <w:rFonts w:asciiTheme="minorHAnsi" w:hAnsiTheme="minorHAnsi" w:cstheme="minorHAnsi"/>
        </w:rPr>
      </w:pPr>
    </w:p>
    <w:tbl>
      <w:tblPr>
        <w:tblStyle w:val="TableGrid"/>
        <w:tblW w:w="0" w:type="auto"/>
        <w:shd w:val="clear" w:color="auto" w:fill="C6D9F1" w:themeFill="text2" w:themeFillTint="33"/>
        <w:tblLook w:val="04A0" w:firstRow="1" w:lastRow="0" w:firstColumn="1" w:lastColumn="0" w:noHBand="0" w:noVBand="1"/>
        <w:tblDescription w:val="ToR focusing questions:"/>
      </w:tblPr>
      <w:tblGrid>
        <w:gridCol w:w="9117"/>
      </w:tblGrid>
      <w:tr w:rsidR="00250D56" w:rsidTr="00B72FB0">
        <w:trPr>
          <w:tblHeader/>
        </w:trPr>
        <w:tc>
          <w:tcPr>
            <w:tcW w:w="9117" w:type="dxa"/>
            <w:shd w:val="clear" w:color="auto" w:fill="C6D9F1" w:themeFill="text2" w:themeFillTint="33"/>
          </w:tcPr>
          <w:p w:rsidR="00250D56" w:rsidRPr="005D1C97" w:rsidRDefault="00250D56" w:rsidP="0013671B">
            <w:pPr>
              <w:spacing w:before="120"/>
              <w:rPr>
                <w:rFonts w:asciiTheme="minorHAnsi" w:hAnsiTheme="minorHAnsi" w:cstheme="minorHAnsi"/>
                <w:b/>
              </w:rPr>
            </w:pPr>
            <w:r w:rsidRPr="005D1C97">
              <w:rPr>
                <w:rFonts w:asciiTheme="minorHAnsi" w:hAnsiTheme="minorHAnsi" w:cstheme="minorHAnsi"/>
                <w:b/>
              </w:rPr>
              <w:t>ToR focusing questions:</w:t>
            </w:r>
          </w:p>
          <w:p w:rsidR="00250D56" w:rsidRPr="005D1C97" w:rsidRDefault="00250D56" w:rsidP="00196C84">
            <w:pPr>
              <w:numPr>
                <w:ilvl w:val="0"/>
                <w:numId w:val="14"/>
              </w:numPr>
              <w:tabs>
                <w:tab w:val="clear" w:pos="520"/>
              </w:tabs>
              <w:spacing w:before="120"/>
              <w:ind w:left="357" w:hanging="357"/>
              <w:rPr>
                <w:rFonts w:asciiTheme="minorHAnsi" w:hAnsiTheme="minorHAnsi" w:cstheme="minorHAnsi"/>
                <w:b/>
              </w:rPr>
            </w:pPr>
            <w:r w:rsidRPr="005D1C97">
              <w:rPr>
                <w:rFonts w:asciiTheme="minorHAnsi" w:hAnsiTheme="minorHAnsi" w:cstheme="minorHAnsi"/>
                <w:b/>
              </w:rPr>
              <w:t>Are there gaps in the current regulatory framework that prevent the objects of the Act being met?</w:t>
            </w:r>
          </w:p>
          <w:p w:rsidR="00250D56" w:rsidRPr="005D1C97" w:rsidRDefault="00250D56" w:rsidP="00B531C0">
            <w:pPr>
              <w:numPr>
                <w:ilvl w:val="0"/>
                <w:numId w:val="14"/>
              </w:numPr>
              <w:tabs>
                <w:tab w:val="clear" w:pos="520"/>
              </w:tabs>
              <w:spacing w:before="120"/>
              <w:ind w:left="357" w:hanging="357"/>
              <w:rPr>
                <w:rFonts w:asciiTheme="minorHAnsi" w:hAnsiTheme="minorHAnsi" w:cstheme="minorHAnsi"/>
              </w:rPr>
            </w:pPr>
            <w:r w:rsidRPr="005D1C97">
              <w:rPr>
                <w:rFonts w:asciiTheme="minorHAnsi" w:hAnsiTheme="minorHAnsi" w:cstheme="minorHAnsi"/>
                <w:b/>
              </w:rPr>
              <w:t>Is there sufficient transparency to inform the ACNC and the public more broadly that funds are being used for the purpose they are being given</w:t>
            </w:r>
            <w:r w:rsidRPr="005D1C97">
              <w:rPr>
                <w:rFonts w:asciiTheme="minorHAnsi" w:hAnsiTheme="minorHAnsi" w:cstheme="minorHAnsi"/>
              </w:rPr>
              <w:t>?</w:t>
            </w:r>
          </w:p>
          <w:p w:rsidR="00250D56" w:rsidRPr="005D1C97" w:rsidRDefault="00250D56" w:rsidP="00B531C0">
            <w:pPr>
              <w:numPr>
                <w:ilvl w:val="0"/>
                <w:numId w:val="14"/>
              </w:numPr>
              <w:tabs>
                <w:tab w:val="clear" w:pos="520"/>
              </w:tabs>
              <w:spacing w:before="120"/>
              <w:ind w:left="357" w:hanging="357"/>
              <w:rPr>
                <w:rFonts w:asciiTheme="minorHAnsi" w:hAnsiTheme="minorHAnsi" w:cstheme="minorHAnsi"/>
                <w:b/>
              </w:rPr>
            </w:pPr>
            <w:r w:rsidRPr="005D1C97">
              <w:rPr>
                <w:rFonts w:asciiTheme="minorHAnsi" w:hAnsiTheme="minorHAnsi" w:cstheme="minorHAnsi"/>
                <w:b/>
              </w:rPr>
              <w:t xml:space="preserve">Have the risks of misconduct by charities and not-for-profits, or those that work with them, been appropriately addressed by the ACNC legislation and the establishment of the ACNC? </w:t>
            </w:r>
          </w:p>
          <w:p w:rsidR="00B531C0" w:rsidRDefault="00250D56" w:rsidP="00490CFD">
            <w:pPr>
              <w:numPr>
                <w:ilvl w:val="0"/>
                <w:numId w:val="14"/>
              </w:numPr>
              <w:tabs>
                <w:tab w:val="clear" w:pos="520"/>
              </w:tabs>
              <w:spacing w:before="120"/>
              <w:ind w:left="357" w:hanging="357"/>
              <w:rPr>
                <w:rFonts w:asciiTheme="minorHAnsi" w:hAnsiTheme="minorHAnsi" w:cstheme="minorHAnsi"/>
              </w:rPr>
            </w:pPr>
            <w:r w:rsidRPr="005D1C97">
              <w:rPr>
                <w:rFonts w:asciiTheme="minorHAnsi" w:hAnsiTheme="minorHAnsi" w:cstheme="minorHAnsi"/>
                <w:b/>
              </w:rPr>
              <w:t>Are the powers of the ACNC Commissioner the right powers to address the risk of misconduct by charities and not-for-profits, or those that work with them, so as to maintain the public’s trust and confidence? Is greater transparency required and would additional powers be appropriate?</w:t>
            </w:r>
          </w:p>
        </w:tc>
      </w:tr>
    </w:tbl>
    <w:p w:rsidR="00E668ED" w:rsidRPr="008215B4" w:rsidRDefault="00E97B0F" w:rsidP="00E668ED">
      <w:pPr>
        <w:keepNext/>
        <w:spacing w:before="240" w:after="120" w:line="240" w:lineRule="auto"/>
        <w:rPr>
          <w:rFonts w:asciiTheme="minorHAnsi" w:hAnsiTheme="minorHAnsi" w:cstheme="minorHAnsi"/>
          <w:b/>
          <w:sz w:val="24"/>
          <w:szCs w:val="24"/>
          <w:u w:val="single"/>
        </w:rPr>
      </w:pPr>
      <w:r>
        <w:rPr>
          <w:rFonts w:asciiTheme="minorHAnsi" w:hAnsiTheme="minorHAnsi" w:cstheme="minorHAnsi"/>
          <w:b/>
          <w:sz w:val="24"/>
          <w:szCs w:val="24"/>
          <w:u w:val="single"/>
        </w:rPr>
        <w:t xml:space="preserve">2. </w:t>
      </w:r>
      <w:r w:rsidR="00E668ED" w:rsidRPr="008215B4">
        <w:rPr>
          <w:rFonts w:asciiTheme="minorHAnsi" w:hAnsiTheme="minorHAnsi" w:cstheme="minorHAnsi"/>
          <w:b/>
          <w:sz w:val="24"/>
          <w:szCs w:val="24"/>
          <w:u w:val="single"/>
        </w:rPr>
        <w:t>Object 1: Maintain, protect and enhance public trust and confidence in the Australian not-for-profit sector</w:t>
      </w:r>
    </w:p>
    <w:p w:rsidR="00E668ED" w:rsidRPr="00F31004" w:rsidRDefault="00E668ED" w:rsidP="00E668ED">
      <w:pPr>
        <w:spacing w:before="120" w:after="120" w:line="240" w:lineRule="auto"/>
        <w:rPr>
          <w:rFonts w:asciiTheme="minorHAnsi" w:hAnsiTheme="minorHAnsi" w:cstheme="minorHAnsi"/>
        </w:rPr>
      </w:pPr>
      <w:r w:rsidRPr="00F31004">
        <w:rPr>
          <w:rFonts w:asciiTheme="minorHAnsi" w:hAnsiTheme="minorHAnsi" w:cstheme="minorHAnsi"/>
        </w:rPr>
        <w:t>Object 1 is the substantive guiding princip</w:t>
      </w:r>
      <w:r w:rsidR="00C00532">
        <w:rPr>
          <w:rFonts w:asciiTheme="minorHAnsi" w:hAnsiTheme="minorHAnsi" w:cstheme="minorHAnsi"/>
        </w:rPr>
        <w:t>le</w:t>
      </w:r>
      <w:r w:rsidRPr="00F31004">
        <w:rPr>
          <w:rFonts w:asciiTheme="minorHAnsi" w:hAnsiTheme="minorHAnsi" w:cstheme="minorHAnsi"/>
        </w:rPr>
        <w:t xml:space="preserve"> and raison d'être for the ACNC role and functions. The ACNC has performed this primary function to a</w:t>
      </w:r>
      <w:r>
        <w:rPr>
          <w:rFonts w:asciiTheme="minorHAnsi" w:hAnsiTheme="minorHAnsi" w:cstheme="minorHAnsi"/>
        </w:rPr>
        <w:t xml:space="preserve"> high </w:t>
      </w:r>
      <w:r w:rsidRPr="00F31004">
        <w:rPr>
          <w:rFonts w:asciiTheme="minorHAnsi" w:hAnsiTheme="minorHAnsi" w:cstheme="minorHAnsi"/>
        </w:rPr>
        <w:t xml:space="preserve">standard since inception.  Prior to its establishment, Commonwealth regulatory oversight of the charitable sector was dispersed across a number of bodies, primarily the Australian Securities and Investment Commission (ASIC) and the Australian Taxation Office (ATO). In its five years of operation, the case for maintaining a central regulatory function has been well </w:t>
      </w:r>
      <w:r>
        <w:rPr>
          <w:rFonts w:asciiTheme="minorHAnsi" w:hAnsiTheme="minorHAnsi" w:cstheme="minorHAnsi"/>
        </w:rPr>
        <w:t>demonstrated</w:t>
      </w:r>
      <w:r w:rsidRPr="00F31004">
        <w:rPr>
          <w:rFonts w:asciiTheme="minorHAnsi" w:hAnsiTheme="minorHAnsi" w:cstheme="minorHAnsi"/>
        </w:rPr>
        <w:t xml:space="preserve">. </w:t>
      </w:r>
    </w:p>
    <w:p w:rsidR="00E668ED" w:rsidRDefault="00E668ED" w:rsidP="00E668ED">
      <w:pPr>
        <w:spacing w:before="120" w:after="120" w:line="240" w:lineRule="auto"/>
        <w:rPr>
          <w:rFonts w:asciiTheme="minorHAnsi" w:hAnsiTheme="minorHAnsi" w:cstheme="minorHAnsi"/>
        </w:rPr>
      </w:pPr>
      <w:r w:rsidRPr="00F31004">
        <w:rPr>
          <w:rFonts w:asciiTheme="minorHAnsi" w:hAnsiTheme="minorHAnsi" w:cstheme="minorHAnsi"/>
        </w:rPr>
        <w:t xml:space="preserve">The </w:t>
      </w:r>
      <w:r>
        <w:rPr>
          <w:rFonts w:asciiTheme="minorHAnsi" w:hAnsiTheme="minorHAnsi" w:cstheme="minorHAnsi"/>
        </w:rPr>
        <w:t>P</w:t>
      </w:r>
      <w:r w:rsidRPr="00F31004">
        <w:rPr>
          <w:rFonts w:asciiTheme="minorHAnsi" w:hAnsiTheme="minorHAnsi" w:cstheme="minorHAnsi"/>
        </w:rPr>
        <w:t xml:space="preserve">artnership reiterates its previous strong support for the role of the ACNC as regulator.  Ensuring, maintaining and building strong public trust and confidence in the Australian charitable sector should remain the ACNC’s key priority.  It should also continue to ensure adherence to appropriate governance standards and assist with the streamlining of cross jurisdiction legislation. </w:t>
      </w:r>
    </w:p>
    <w:p w:rsidR="00CE46CF" w:rsidRPr="00F31004" w:rsidRDefault="00377F6C" w:rsidP="0013671B">
      <w:pPr>
        <w:pStyle w:val="ListParagraph"/>
        <w:keepNext/>
        <w:spacing w:before="240" w:after="120" w:line="240" w:lineRule="auto"/>
        <w:ind w:left="0"/>
        <w:contextualSpacing w:val="0"/>
        <w:rPr>
          <w:rFonts w:asciiTheme="minorHAnsi" w:hAnsiTheme="minorHAnsi" w:cstheme="minorHAnsi"/>
          <w:b/>
          <w:i/>
        </w:rPr>
      </w:pPr>
      <w:r>
        <w:rPr>
          <w:rFonts w:asciiTheme="minorHAnsi" w:hAnsiTheme="minorHAnsi" w:cstheme="minorHAnsi"/>
          <w:b/>
          <w:i/>
        </w:rPr>
        <w:t xml:space="preserve">2.1 </w:t>
      </w:r>
      <w:r w:rsidR="00CE46CF" w:rsidRPr="00F31004">
        <w:rPr>
          <w:rFonts w:asciiTheme="minorHAnsi" w:hAnsiTheme="minorHAnsi" w:cstheme="minorHAnsi"/>
          <w:b/>
          <w:i/>
        </w:rPr>
        <w:t xml:space="preserve">Legislative </w:t>
      </w:r>
      <w:r w:rsidR="00CD2D65" w:rsidRPr="00F31004">
        <w:rPr>
          <w:rFonts w:asciiTheme="minorHAnsi" w:hAnsiTheme="minorHAnsi" w:cstheme="minorHAnsi"/>
          <w:b/>
          <w:i/>
        </w:rPr>
        <w:t xml:space="preserve">Review and Possible </w:t>
      </w:r>
      <w:r w:rsidR="00CE46CF" w:rsidRPr="00F31004">
        <w:rPr>
          <w:rFonts w:asciiTheme="minorHAnsi" w:hAnsiTheme="minorHAnsi" w:cstheme="minorHAnsi"/>
          <w:b/>
          <w:i/>
        </w:rPr>
        <w:t>Amendments</w:t>
      </w:r>
    </w:p>
    <w:p w:rsidR="00CD2D65" w:rsidRPr="00F31004" w:rsidRDefault="00281E81" w:rsidP="0013671B">
      <w:pPr>
        <w:spacing w:before="120" w:after="120" w:line="240" w:lineRule="auto"/>
        <w:rPr>
          <w:rFonts w:asciiTheme="minorHAnsi" w:eastAsia="Calibri" w:hAnsiTheme="minorHAnsi" w:cstheme="minorHAnsi"/>
        </w:rPr>
      </w:pPr>
      <w:r w:rsidRPr="00F31004">
        <w:rPr>
          <w:rFonts w:asciiTheme="minorHAnsi" w:hAnsiTheme="minorHAnsi" w:cstheme="minorHAnsi"/>
        </w:rPr>
        <w:t>The</w:t>
      </w:r>
      <w:r w:rsidR="00CE46CF" w:rsidRPr="00F31004">
        <w:rPr>
          <w:rFonts w:asciiTheme="minorHAnsi" w:hAnsiTheme="minorHAnsi" w:cstheme="minorHAnsi"/>
        </w:rPr>
        <w:t xml:space="preserve"> Partnership </w:t>
      </w:r>
      <w:r w:rsidR="00CD2D65" w:rsidRPr="00F31004">
        <w:rPr>
          <w:rFonts w:asciiTheme="minorHAnsi" w:hAnsiTheme="minorHAnsi" w:cstheme="minorHAnsi"/>
        </w:rPr>
        <w:t xml:space="preserve">supports </w:t>
      </w:r>
      <w:r w:rsidR="00943282">
        <w:rPr>
          <w:rFonts w:asciiTheme="minorHAnsi" w:hAnsiTheme="minorHAnsi" w:cstheme="minorHAnsi"/>
        </w:rPr>
        <w:t xml:space="preserve">these </w:t>
      </w:r>
      <w:r w:rsidR="00CD2D65" w:rsidRPr="00F31004">
        <w:rPr>
          <w:rFonts w:asciiTheme="minorHAnsi" w:eastAsia="Calibri" w:hAnsiTheme="minorHAnsi" w:cstheme="minorHAnsi"/>
        </w:rPr>
        <w:t xml:space="preserve">recommendations made by the ACNC </w:t>
      </w:r>
      <w:r w:rsidR="00D13226">
        <w:rPr>
          <w:rFonts w:asciiTheme="minorHAnsi" w:eastAsia="Calibri" w:hAnsiTheme="minorHAnsi" w:cstheme="minorHAnsi"/>
        </w:rPr>
        <w:t>in its submission to the review</w:t>
      </w:r>
      <w:r w:rsidR="00096F71">
        <w:rPr>
          <w:rFonts w:asciiTheme="minorHAnsi" w:eastAsia="Calibri" w:hAnsiTheme="minorHAnsi" w:cstheme="minorHAnsi"/>
        </w:rPr>
        <w:t xml:space="preserve">, where its proposed </w:t>
      </w:r>
      <w:r w:rsidR="00CD2D65" w:rsidRPr="00F31004">
        <w:rPr>
          <w:rFonts w:asciiTheme="minorHAnsi" w:eastAsia="Calibri" w:hAnsiTheme="minorHAnsi" w:cstheme="minorHAnsi"/>
        </w:rPr>
        <w:t xml:space="preserve">legislative amendments </w:t>
      </w:r>
      <w:r w:rsidR="00CE46CF" w:rsidRPr="00F31004">
        <w:rPr>
          <w:rFonts w:asciiTheme="minorHAnsi" w:eastAsia="Calibri" w:hAnsiTheme="minorHAnsi" w:cstheme="minorHAnsi"/>
        </w:rPr>
        <w:t xml:space="preserve">would allow the ACNC to </w:t>
      </w:r>
      <w:r w:rsidR="00096F71">
        <w:rPr>
          <w:rFonts w:asciiTheme="minorHAnsi" w:eastAsia="Calibri" w:hAnsiTheme="minorHAnsi" w:cstheme="minorHAnsi"/>
        </w:rPr>
        <w:t xml:space="preserve">better meet </w:t>
      </w:r>
      <w:r w:rsidR="00555391" w:rsidRPr="00F31004">
        <w:rPr>
          <w:rFonts w:asciiTheme="minorHAnsi" w:eastAsia="Calibri" w:hAnsiTheme="minorHAnsi" w:cstheme="minorHAnsi"/>
        </w:rPr>
        <w:t>its objectives of good governance, transparency and accountability of the sector</w:t>
      </w:r>
      <w:r w:rsidR="00CD2D65" w:rsidRPr="00F31004">
        <w:rPr>
          <w:rFonts w:asciiTheme="minorHAnsi" w:eastAsia="Calibri" w:hAnsiTheme="minorHAnsi" w:cstheme="minorHAnsi"/>
        </w:rPr>
        <w:t>:</w:t>
      </w:r>
    </w:p>
    <w:p w:rsidR="00552329" w:rsidRPr="00F31004" w:rsidRDefault="00552329" w:rsidP="0013671B">
      <w:pPr>
        <w:pStyle w:val="ListParagraph"/>
        <w:numPr>
          <w:ilvl w:val="0"/>
          <w:numId w:val="2"/>
        </w:numPr>
        <w:spacing w:before="120" w:after="120" w:line="240" w:lineRule="auto"/>
        <w:ind w:left="714" w:hanging="357"/>
        <w:contextualSpacing w:val="0"/>
        <w:rPr>
          <w:rFonts w:asciiTheme="minorHAnsi" w:eastAsia="Calibri" w:hAnsiTheme="minorHAnsi" w:cstheme="minorHAnsi"/>
        </w:rPr>
      </w:pPr>
      <w:r w:rsidRPr="00F31004">
        <w:rPr>
          <w:rFonts w:asciiTheme="minorHAnsi" w:eastAsia="Calibri" w:hAnsiTheme="minorHAnsi" w:cstheme="minorHAnsi"/>
          <w:i/>
        </w:rPr>
        <w:t>ACNC Recommendation 1</w:t>
      </w:r>
      <w:r w:rsidRPr="00F31004">
        <w:rPr>
          <w:rFonts w:asciiTheme="minorHAnsi" w:eastAsia="Calibri" w:hAnsiTheme="minorHAnsi" w:cstheme="minorHAnsi"/>
        </w:rPr>
        <w:t xml:space="preserve">: The Partnership agrees that the ACNC needs powers to protect the assets of organisations that have been deregistered by </w:t>
      </w:r>
      <w:r w:rsidR="00F84A4A" w:rsidRPr="00F31004">
        <w:rPr>
          <w:rFonts w:asciiTheme="minorHAnsi" w:eastAsia="Calibri" w:hAnsiTheme="minorHAnsi" w:cstheme="minorHAnsi"/>
        </w:rPr>
        <w:t xml:space="preserve">the </w:t>
      </w:r>
      <w:r w:rsidRPr="00F31004">
        <w:rPr>
          <w:rFonts w:asciiTheme="minorHAnsi" w:eastAsia="Calibri" w:hAnsiTheme="minorHAnsi" w:cstheme="minorHAnsi"/>
        </w:rPr>
        <w:t xml:space="preserve">ATO.  </w:t>
      </w:r>
      <w:r w:rsidR="00D13226">
        <w:rPr>
          <w:rFonts w:asciiTheme="minorHAnsi" w:eastAsia="Calibri" w:hAnsiTheme="minorHAnsi" w:cstheme="minorHAnsi"/>
        </w:rPr>
        <w:t>The m</w:t>
      </w:r>
      <w:r w:rsidR="00A16519" w:rsidRPr="00F31004">
        <w:rPr>
          <w:rFonts w:asciiTheme="minorHAnsi" w:eastAsia="Calibri" w:hAnsiTheme="minorHAnsi" w:cstheme="minorHAnsi"/>
        </w:rPr>
        <w:t xml:space="preserve">inimum expectations of donors is that their charitable contributions </w:t>
      </w:r>
      <w:r w:rsidRPr="00F31004">
        <w:rPr>
          <w:rFonts w:asciiTheme="minorHAnsi" w:eastAsia="Calibri" w:hAnsiTheme="minorHAnsi" w:cstheme="minorHAnsi"/>
        </w:rPr>
        <w:t>are appropriately dealt with in terms of community best interests and the originally intended use of the assets for the public good</w:t>
      </w:r>
      <w:r w:rsidR="005D6C98" w:rsidRPr="00F31004">
        <w:rPr>
          <w:rFonts w:asciiTheme="minorHAnsi" w:eastAsia="Calibri" w:hAnsiTheme="minorHAnsi" w:cstheme="minorHAnsi"/>
        </w:rPr>
        <w:t xml:space="preserve"> </w:t>
      </w:r>
    </w:p>
    <w:p w:rsidR="003F07D6" w:rsidRPr="00F31004" w:rsidRDefault="003F07D6" w:rsidP="0013671B">
      <w:pPr>
        <w:pStyle w:val="ListParagraph"/>
        <w:numPr>
          <w:ilvl w:val="0"/>
          <w:numId w:val="4"/>
        </w:numPr>
        <w:spacing w:before="120" w:after="120" w:line="240" w:lineRule="auto"/>
        <w:ind w:left="714" w:hanging="357"/>
        <w:contextualSpacing w:val="0"/>
        <w:rPr>
          <w:rFonts w:asciiTheme="minorHAnsi" w:eastAsia="Calibri" w:hAnsiTheme="minorHAnsi" w:cstheme="minorHAnsi"/>
        </w:rPr>
      </w:pPr>
      <w:r w:rsidRPr="00F31004">
        <w:rPr>
          <w:rFonts w:asciiTheme="minorHAnsi" w:eastAsia="Calibri" w:hAnsiTheme="minorHAnsi" w:cstheme="minorHAnsi"/>
          <w:i/>
        </w:rPr>
        <w:t>ACNC Recommendations 5-6</w:t>
      </w:r>
      <w:r w:rsidRPr="00F31004">
        <w:rPr>
          <w:rFonts w:asciiTheme="minorHAnsi" w:eastAsia="Calibri" w:hAnsiTheme="minorHAnsi" w:cstheme="minorHAnsi"/>
        </w:rPr>
        <w:t xml:space="preserve">:  The Partnership supports </w:t>
      </w:r>
      <w:r w:rsidR="005D6C98" w:rsidRPr="00F31004">
        <w:rPr>
          <w:rFonts w:asciiTheme="minorHAnsi" w:eastAsia="Calibri" w:hAnsiTheme="minorHAnsi" w:cstheme="minorHAnsi"/>
        </w:rPr>
        <w:t xml:space="preserve">enabling </w:t>
      </w:r>
      <w:r w:rsidRPr="00F31004">
        <w:rPr>
          <w:rFonts w:asciiTheme="minorHAnsi" w:eastAsia="Calibri" w:hAnsiTheme="minorHAnsi" w:cstheme="minorHAnsi"/>
        </w:rPr>
        <w:t xml:space="preserve">the ACNC to post relevant information </w:t>
      </w:r>
      <w:r w:rsidR="00C20186" w:rsidRPr="00F31004">
        <w:rPr>
          <w:rFonts w:asciiTheme="minorHAnsi" w:eastAsia="Calibri" w:hAnsiTheme="minorHAnsi" w:cstheme="minorHAnsi"/>
        </w:rPr>
        <w:t>about registered charities on</w:t>
      </w:r>
      <w:r w:rsidRPr="00F31004">
        <w:rPr>
          <w:rFonts w:asciiTheme="minorHAnsi" w:eastAsia="Calibri" w:hAnsiTheme="minorHAnsi" w:cstheme="minorHAnsi"/>
        </w:rPr>
        <w:t xml:space="preserve"> its public website, in pursuit of its’ meeting the policy objectives of Object 1, and cons</w:t>
      </w:r>
      <w:r w:rsidR="005D6C98" w:rsidRPr="00F31004">
        <w:rPr>
          <w:rFonts w:asciiTheme="minorHAnsi" w:eastAsia="Calibri" w:hAnsiTheme="minorHAnsi" w:cstheme="minorHAnsi"/>
        </w:rPr>
        <w:t>istent with the public interest</w:t>
      </w:r>
    </w:p>
    <w:p w:rsidR="00BF5740" w:rsidRPr="00F31004" w:rsidRDefault="00BF5740" w:rsidP="0013671B">
      <w:pPr>
        <w:pStyle w:val="ListParagraph"/>
        <w:numPr>
          <w:ilvl w:val="0"/>
          <w:numId w:val="2"/>
        </w:numPr>
        <w:spacing w:before="120" w:after="120" w:line="240" w:lineRule="auto"/>
        <w:ind w:left="714" w:hanging="357"/>
        <w:contextualSpacing w:val="0"/>
        <w:rPr>
          <w:rFonts w:asciiTheme="minorHAnsi" w:hAnsiTheme="minorHAnsi" w:cstheme="minorHAnsi"/>
        </w:rPr>
      </w:pPr>
      <w:r w:rsidRPr="00F31004">
        <w:rPr>
          <w:rFonts w:asciiTheme="minorHAnsi" w:eastAsia="Calibri" w:hAnsiTheme="minorHAnsi" w:cstheme="minorHAnsi"/>
          <w:i/>
        </w:rPr>
        <w:t>ACNC Recommendations 7, 8 and 17</w:t>
      </w:r>
      <w:r w:rsidRPr="00F31004">
        <w:rPr>
          <w:rFonts w:asciiTheme="minorHAnsi" w:eastAsia="Calibri" w:hAnsiTheme="minorHAnsi" w:cstheme="minorHAnsi"/>
        </w:rPr>
        <w:t xml:space="preserve">: </w:t>
      </w:r>
      <w:r w:rsidRPr="00F31004">
        <w:rPr>
          <w:rFonts w:asciiTheme="minorHAnsi" w:hAnsiTheme="minorHAnsi" w:cstheme="minorHAnsi"/>
        </w:rPr>
        <w:t>The Partnership agrees that relevant Governance regulations in the ACNC Acts be reviewed to ensure appropriateness and consistency for best practice in the charities sector</w:t>
      </w:r>
    </w:p>
    <w:p w:rsidR="007649F0" w:rsidRDefault="00E86F9B" w:rsidP="0013671B">
      <w:pPr>
        <w:pStyle w:val="ListParagraph"/>
        <w:numPr>
          <w:ilvl w:val="0"/>
          <w:numId w:val="1"/>
        </w:numPr>
        <w:spacing w:before="120" w:after="120" w:line="240" w:lineRule="auto"/>
        <w:ind w:left="714" w:hanging="357"/>
        <w:contextualSpacing w:val="0"/>
        <w:rPr>
          <w:rFonts w:asciiTheme="minorHAnsi" w:eastAsia="Calibri" w:hAnsiTheme="minorHAnsi" w:cstheme="minorHAnsi"/>
        </w:rPr>
      </w:pPr>
      <w:r w:rsidRPr="00F31004">
        <w:rPr>
          <w:rFonts w:asciiTheme="minorHAnsi" w:eastAsia="Calibri" w:hAnsiTheme="minorHAnsi" w:cstheme="minorHAnsi"/>
          <w:i/>
        </w:rPr>
        <w:t>ACNC Recommendations 10-15:</w:t>
      </w:r>
      <w:r w:rsidRPr="00F31004">
        <w:rPr>
          <w:rFonts w:asciiTheme="minorHAnsi" w:eastAsia="Calibri" w:hAnsiTheme="minorHAnsi" w:cstheme="minorHAnsi"/>
        </w:rPr>
        <w:t xml:space="preserve"> </w:t>
      </w:r>
      <w:r w:rsidR="000275F2" w:rsidRPr="00F31004">
        <w:rPr>
          <w:rFonts w:asciiTheme="minorHAnsi" w:eastAsia="Calibri" w:hAnsiTheme="minorHAnsi" w:cstheme="minorHAnsi"/>
        </w:rPr>
        <w:t>M</w:t>
      </w:r>
      <w:r w:rsidR="00CE46CF" w:rsidRPr="00F31004">
        <w:rPr>
          <w:rFonts w:asciiTheme="minorHAnsi" w:eastAsia="Calibri" w:hAnsiTheme="minorHAnsi" w:cstheme="minorHAnsi"/>
        </w:rPr>
        <w:t>odify</w:t>
      </w:r>
      <w:r w:rsidR="000275F2" w:rsidRPr="00F31004">
        <w:rPr>
          <w:rFonts w:asciiTheme="minorHAnsi" w:eastAsia="Calibri" w:hAnsiTheme="minorHAnsi" w:cstheme="minorHAnsi"/>
        </w:rPr>
        <w:t>ing</w:t>
      </w:r>
      <w:r w:rsidR="00CE46CF" w:rsidRPr="00F31004">
        <w:rPr>
          <w:rFonts w:asciiTheme="minorHAnsi" w:eastAsia="Calibri" w:hAnsiTheme="minorHAnsi" w:cstheme="minorHAnsi"/>
        </w:rPr>
        <w:t xml:space="preserve"> </w:t>
      </w:r>
      <w:r w:rsidRPr="00F31004">
        <w:rPr>
          <w:rFonts w:asciiTheme="minorHAnsi" w:eastAsia="Calibri" w:hAnsiTheme="minorHAnsi" w:cstheme="minorHAnsi"/>
        </w:rPr>
        <w:t xml:space="preserve">current </w:t>
      </w:r>
      <w:r w:rsidR="00CE46CF" w:rsidRPr="00F31004">
        <w:rPr>
          <w:rFonts w:asciiTheme="minorHAnsi" w:eastAsia="Calibri" w:hAnsiTheme="minorHAnsi" w:cstheme="minorHAnsi"/>
        </w:rPr>
        <w:t xml:space="preserve">secrecy </w:t>
      </w:r>
      <w:r w:rsidR="004D0850" w:rsidRPr="00F31004">
        <w:rPr>
          <w:rFonts w:asciiTheme="minorHAnsi" w:eastAsia="Calibri" w:hAnsiTheme="minorHAnsi" w:cstheme="minorHAnsi"/>
        </w:rPr>
        <w:t xml:space="preserve">and disclosure </w:t>
      </w:r>
      <w:r w:rsidR="00CE46CF" w:rsidRPr="00F31004">
        <w:rPr>
          <w:rFonts w:asciiTheme="minorHAnsi" w:eastAsia="Calibri" w:hAnsiTheme="minorHAnsi" w:cstheme="minorHAnsi"/>
        </w:rPr>
        <w:t xml:space="preserve">provisions </w:t>
      </w:r>
      <w:r w:rsidRPr="00F31004">
        <w:rPr>
          <w:rFonts w:asciiTheme="minorHAnsi" w:eastAsia="Calibri" w:hAnsiTheme="minorHAnsi" w:cstheme="minorHAnsi"/>
        </w:rPr>
        <w:t xml:space="preserve">of the ACNC Act </w:t>
      </w:r>
      <w:r w:rsidR="000275F2" w:rsidRPr="00F31004">
        <w:rPr>
          <w:rFonts w:asciiTheme="minorHAnsi" w:eastAsia="Calibri" w:hAnsiTheme="minorHAnsi" w:cstheme="minorHAnsi"/>
        </w:rPr>
        <w:t xml:space="preserve">will </w:t>
      </w:r>
      <w:r w:rsidR="005D6C98" w:rsidRPr="00F31004">
        <w:rPr>
          <w:rFonts w:asciiTheme="minorHAnsi" w:eastAsia="Calibri" w:hAnsiTheme="minorHAnsi" w:cstheme="minorHAnsi"/>
        </w:rPr>
        <w:t>improve transparency</w:t>
      </w:r>
      <w:r w:rsidR="000275F2" w:rsidRPr="00F31004">
        <w:rPr>
          <w:rFonts w:asciiTheme="minorHAnsi" w:eastAsia="Calibri" w:hAnsiTheme="minorHAnsi" w:cstheme="minorHAnsi"/>
        </w:rPr>
        <w:t xml:space="preserve">. </w:t>
      </w:r>
      <w:r w:rsidR="00D13226">
        <w:rPr>
          <w:rFonts w:asciiTheme="minorHAnsi" w:eastAsia="Calibri" w:hAnsiTheme="minorHAnsi" w:cstheme="minorHAnsi"/>
        </w:rPr>
        <w:t xml:space="preserve">The Partnership </w:t>
      </w:r>
      <w:r w:rsidR="003E4122">
        <w:rPr>
          <w:rFonts w:asciiTheme="minorHAnsi" w:eastAsia="Calibri" w:hAnsiTheme="minorHAnsi" w:cstheme="minorHAnsi"/>
        </w:rPr>
        <w:t xml:space="preserve">generally </w:t>
      </w:r>
      <w:r w:rsidR="00D13226">
        <w:rPr>
          <w:rFonts w:asciiTheme="minorHAnsi" w:eastAsia="Calibri" w:hAnsiTheme="minorHAnsi" w:cstheme="minorHAnsi"/>
        </w:rPr>
        <w:t>agrees that t</w:t>
      </w:r>
      <w:r w:rsidR="004D0850" w:rsidRPr="00F31004">
        <w:rPr>
          <w:rFonts w:asciiTheme="minorHAnsi" w:eastAsia="Calibri" w:hAnsiTheme="minorHAnsi" w:cstheme="minorHAnsi"/>
        </w:rPr>
        <w:t xml:space="preserve">he ACNC </w:t>
      </w:r>
      <w:r w:rsidR="003E4122">
        <w:rPr>
          <w:rFonts w:asciiTheme="minorHAnsi" w:eastAsia="Calibri" w:hAnsiTheme="minorHAnsi" w:cstheme="minorHAnsi"/>
        </w:rPr>
        <w:t xml:space="preserve">should </w:t>
      </w:r>
      <w:r w:rsidR="000275F2" w:rsidRPr="00F31004">
        <w:rPr>
          <w:rFonts w:asciiTheme="minorHAnsi" w:eastAsia="Calibri" w:hAnsiTheme="minorHAnsi" w:cstheme="minorHAnsi"/>
        </w:rPr>
        <w:t>be able to</w:t>
      </w:r>
      <w:r w:rsidR="004D0850" w:rsidRPr="00F31004">
        <w:rPr>
          <w:rFonts w:asciiTheme="minorHAnsi" w:eastAsia="Calibri" w:hAnsiTheme="minorHAnsi" w:cstheme="minorHAnsi"/>
        </w:rPr>
        <w:t xml:space="preserve"> publish circumstances surrounding misconduct of a charitable organisation where it is in the public interest </w:t>
      </w:r>
      <w:r w:rsidR="00552329" w:rsidRPr="00F31004">
        <w:rPr>
          <w:rFonts w:asciiTheme="minorHAnsi" w:eastAsia="Calibri" w:hAnsiTheme="minorHAnsi" w:cstheme="minorHAnsi"/>
        </w:rPr>
        <w:t>f</w:t>
      </w:r>
      <w:r w:rsidR="004D0850" w:rsidRPr="00F31004">
        <w:rPr>
          <w:rFonts w:asciiTheme="minorHAnsi" w:eastAsia="Calibri" w:hAnsiTheme="minorHAnsi" w:cstheme="minorHAnsi"/>
        </w:rPr>
        <w:t>or this to occur</w:t>
      </w:r>
      <w:r w:rsidR="008576C9">
        <w:rPr>
          <w:rFonts w:asciiTheme="minorHAnsi" w:eastAsia="Calibri" w:hAnsiTheme="minorHAnsi" w:cstheme="minorHAnsi"/>
        </w:rPr>
        <w:t>, and after vigorous and appropriate investigations have been conducted</w:t>
      </w:r>
    </w:p>
    <w:p w:rsidR="004D0850" w:rsidRPr="009E4A11" w:rsidRDefault="000275F2" w:rsidP="003E4122">
      <w:pPr>
        <w:pStyle w:val="ListParagraph"/>
        <w:numPr>
          <w:ilvl w:val="1"/>
          <w:numId w:val="1"/>
        </w:numPr>
        <w:spacing w:before="120" w:after="120" w:line="240" w:lineRule="auto"/>
        <w:contextualSpacing w:val="0"/>
        <w:rPr>
          <w:rFonts w:asciiTheme="minorHAnsi" w:eastAsia="Calibri" w:hAnsiTheme="minorHAnsi" w:cstheme="minorHAnsi"/>
        </w:rPr>
      </w:pPr>
      <w:r w:rsidRPr="00A90C0B">
        <w:rPr>
          <w:rFonts w:asciiTheme="minorHAnsi" w:hAnsiTheme="minorHAnsi" w:cstheme="minorHAnsi"/>
        </w:rPr>
        <w:t xml:space="preserve">The Partnership urges </w:t>
      </w:r>
      <w:r w:rsidR="003E4122" w:rsidRPr="00A90C0B">
        <w:rPr>
          <w:rFonts w:asciiTheme="minorHAnsi" w:hAnsiTheme="minorHAnsi" w:cstheme="minorHAnsi"/>
        </w:rPr>
        <w:t xml:space="preserve">the ACNC to undertake </w:t>
      </w:r>
      <w:r w:rsidRPr="00A90C0B">
        <w:rPr>
          <w:rFonts w:asciiTheme="minorHAnsi" w:hAnsiTheme="minorHAnsi" w:cstheme="minorHAnsi"/>
        </w:rPr>
        <w:t>consultation with the sector and appropriate bodies such as the Office of the Australian Information Commissioner</w:t>
      </w:r>
      <w:r w:rsidR="003E4122" w:rsidRPr="00A90C0B">
        <w:rPr>
          <w:rFonts w:asciiTheme="minorHAnsi" w:hAnsiTheme="minorHAnsi" w:cstheme="minorHAnsi"/>
        </w:rPr>
        <w:t xml:space="preserve"> before any changes are made to the Act, in order to protect the privacy rights of charities (and their board members, staff, volunteers and donors)</w:t>
      </w:r>
    </w:p>
    <w:p w:rsidR="00AA5C5D" w:rsidRPr="00F31004" w:rsidRDefault="004D0850" w:rsidP="0013671B">
      <w:pPr>
        <w:pStyle w:val="ListParagraph"/>
        <w:numPr>
          <w:ilvl w:val="0"/>
          <w:numId w:val="3"/>
        </w:numPr>
        <w:spacing w:before="120" w:after="120" w:line="240" w:lineRule="auto"/>
        <w:ind w:left="714" w:hanging="357"/>
        <w:contextualSpacing w:val="0"/>
        <w:rPr>
          <w:rFonts w:asciiTheme="minorHAnsi" w:hAnsiTheme="minorHAnsi" w:cstheme="minorHAnsi"/>
        </w:rPr>
      </w:pPr>
      <w:r w:rsidRPr="00F31004">
        <w:rPr>
          <w:rFonts w:asciiTheme="minorHAnsi" w:eastAsia="Calibri" w:hAnsiTheme="minorHAnsi" w:cstheme="minorHAnsi"/>
          <w:i/>
        </w:rPr>
        <w:t>ACNC Recommendation 24</w:t>
      </w:r>
      <w:r w:rsidRPr="00F31004">
        <w:rPr>
          <w:rFonts w:asciiTheme="minorHAnsi" w:eastAsia="Calibri" w:hAnsiTheme="minorHAnsi" w:cstheme="minorHAnsi"/>
        </w:rPr>
        <w:t xml:space="preserve">:  </w:t>
      </w:r>
      <w:r w:rsidR="00D13226">
        <w:rPr>
          <w:rFonts w:asciiTheme="minorHAnsi" w:eastAsia="Calibri" w:hAnsiTheme="minorHAnsi" w:cstheme="minorHAnsi"/>
        </w:rPr>
        <w:t xml:space="preserve">The Partnership agrees </w:t>
      </w:r>
      <w:r w:rsidR="004D1965" w:rsidRPr="00F31004">
        <w:rPr>
          <w:rFonts w:asciiTheme="minorHAnsi" w:eastAsia="Calibri" w:hAnsiTheme="minorHAnsi" w:cstheme="minorHAnsi"/>
        </w:rPr>
        <w:t>i</w:t>
      </w:r>
      <w:r w:rsidR="00162DD0" w:rsidRPr="00F31004">
        <w:rPr>
          <w:rFonts w:asciiTheme="minorHAnsi" w:hAnsiTheme="minorHAnsi" w:cstheme="minorHAnsi"/>
        </w:rPr>
        <w:t>t should be mandatory for</w:t>
      </w:r>
      <w:r w:rsidR="009F5AF8" w:rsidRPr="00F31004">
        <w:rPr>
          <w:rFonts w:asciiTheme="minorHAnsi" w:hAnsiTheme="minorHAnsi" w:cstheme="minorHAnsi"/>
        </w:rPr>
        <w:t xml:space="preserve"> the</w:t>
      </w:r>
      <w:r w:rsidR="00162DD0" w:rsidRPr="00F31004">
        <w:rPr>
          <w:rFonts w:asciiTheme="minorHAnsi" w:hAnsiTheme="minorHAnsi" w:cstheme="minorHAnsi"/>
        </w:rPr>
        <w:t xml:space="preserve"> auditors </w:t>
      </w:r>
      <w:r w:rsidR="009F5AF8" w:rsidRPr="00F31004">
        <w:rPr>
          <w:rFonts w:asciiTheme="minorHAnsi" w:hAnsiTheme="minorHAnsi" w:cstheme="minorHAnsi"/>
        </w:rPr>
        <w:t xml:space="preserve">of </w:t>
      </w:r>
      <w:r w:rsidR="00162DD0" w:rsidRPr="00F31004">
        <w:rPr>
          <w:rFonts w:asciiTheme="minorHAnsi" w:hAnsiTheme="minorHAnsi" w:cstheme="minorHAnsi"/>
        </w:rPr>
        <w:t xml:space="preserve">charitable organisations to report </w:t>
      </w:r>
      <w:r w:rsidR="00AA5C5D" w:rsidRPr="00F31004">
        <w:rPr>
          <w:rFonts w:asciiTheme="minorHAnsi" w:hAnsiTheme="minorHAnsi" w:cstheme="minorHAnsi"/>
        </w:rPr>
        <w:t>to the ACNC a significant contravention of the ACNC Act</w:t>
      </w:r>
      <w:r w:rsidR="00D13226">
        <w:rPr>
          <w:rFonts w:asciiTheme="minorHAnsi" w:hAnsiTheme="minorHAnsi" w:cstheme="minorHAnsi"/>
        </w:rPr>
        <w:t>, and</w:t>
      </w:r>
    </w:p>
    <w:p w:rsidR="00552329" w:rsidRPr="00F31004" w:rsidRDefault="00552329" w:rsidP="0055424A">
      <w:pPr>
        <w:pStyle w:val="ListParagraph"/>
        <w:numPr>
          <w:ilvl w:val="0"/>
          <w:numId w:val="3"/>
        </w:numPr>
        <w:spacing w:before="120" w:after="240" w:line="240" w:lineRule="auto"/>
        <w:ind w:left="714" w:hanging="357"/>
        <w:contextualSpacing w:val="0"/>
        <w:rPr>
          <w:rFonts w:asciiTheme="minorHAnsi" w:eastAsia="Calibri" w:hAnsiTheme="minorHAnsi" w:cstheme="minorHAnsi"/>
        </w:rPr>
      </w:pPr>
      <w:r w:rsidRPr="00F31004">
        <w:rPr>
          <w:rFonts w:asciiTheme="minorHAnsi" w:eastAsia="Calibri" w:hAnsiTheme="minorHAnsi" w:cstheme="minorHAnsi"/>
          <w:i/>
        </w:rPr>
        <w:t>ACNC Recommendation 40</w:t>
      </w:r>
      <w:r w:rsidRPr="00F31004">
        <w:rPr>
          <w:rFonts w:asciiTheme="minorHAnsi" w:eastAsia="Calibri" w:hAnsiTheme="minorHAnsi" w:cstheme="minorHAnsi"/>
        </w:rPr>
        <w:t xml:space="preserve">: </w:t>
      </w:r>
      <w:r w:rsidR="004D1965" w:rsidRPr="00F31004">
        <w:rPr>
          <w:rFonts w:asciiTheme="minorHAnsi" w:eastAsia="Calibri" w:hAnsiTheme="minorHAnsi" w:cstheme="minorHAnsi"/>
        </w:rPr>
        <w:t>The Partnership agrees to the need to better define</w:t>
      </w:r>
      <w:r w:rsidR="00C86C87">
        <w:rPr>
          <w:rFonts w:asciiTheme="minorHAnsi" w:eastAsia="Calibri" w:hAnsiTheme="minorHAnsi" w:cstheme="minorHAnsi"/>
        </w:rPr>
        <w:t xml:space="preserve"> </w:t>
      </w:r>
      <w:r w:rsidRPr="00F31004">
        <w:rPr>
          <w:rFonts w:asciiTheme="minorHAnsi" w:eastAsia="Calibri" w:hAnsiTheme="minorHAnsi" w:cstheme="minorHAnsi"/>
        </w:rPr>
        <w:t xml:space="preserve">‘government entity’ in the Charities Act to increase clarity, certainty and internal consistency. </w:t>
      </w:r>
    </w:p>
    <w:tbl>
      <w:tblPr>
        <w:tblStyle w:val="TableGrid"/>
        <w:tblW w:w="0" w:type="auto"/>
        <w:shd w:val="clear" w:color="auto" w:fill="C6D9F1" w:themeFill="text2" w:themeFillTint="33"/>
        <w:tblLook w:val="04A0" w:firstRow="1" w:lastRow="0" w:firstColumn="1" w:lastColumn="0" w:noHBand="0" w:noVBand="1"/>
        <w:tblDescription w:val="ToR focusing question:"/>
      </w:tblPr>
      <w:tblGrid>
        <w:gridCol w:w="9117"/>
      </w:tblGrid>
      <w:tr w:rsidR="00B730C7" w:rsidTr="00B72FB0">
        <w:trPr>
          <w:tblHeader/>
        </w:trPr>
        <w:tc>
          <w:tcPr>
            <w:tcW w:w="9322" w:type="dxa"/>
            <w:shd w:val="clear" w:color="auto" w:fill="C6D9F1" w:themeFill="text2" w:themeFillTint="33"/>
          </w:tcPr>
          <w:p w:rsidR="00B730C7" w:rsidRPr="00BA307E" w:rsidRDefault="00B730C7" w:rsidP="00121B42">
            <w:pPr>
              <w:spacing w:before="120" w:after="120"/>
              <w:rPr>
                <w:rFonts w:asciiTheme="minorHAnsi" w:hAnsiTheme="minorHAnsi"/>
                <w:b/>
                <w:color w:val="000000" w:themeColor="text1"/>
              </w:rPr>
            </w:pPr>
            <w:r w:rsidRPr="00BA307E">
              <w:rPr>
                <w:rFonts w:asciiTheme="minorHAnsi" w:hAnsiTheme="minorHAnsi"/>
                <w:b/>
                <w:color w:val="000000" w:themeColor="text1"/>
              </w:rPr>
              <w:t>ToR focusing question:</w:t>
            </w:r>
          </w:p>
          <w:p w:rsidR="00B730C7" w:rsidRPr="000E72E1" w:rsidRDefault="00B730C7" w:rsidP="00196C84">
            <w:pPr>
              <w:pStyle w:val="ListParagraph"/>
              <w:numPr>
                <w:ilvl w:val="0"/>
                <w:numId w:val="19"/>
              </w:numPr>
              <w:spacing w:before="120" w:after="240"/>
              <w:ind w:left="360"/>
              <w:rPr>
                <w:rFonts w:asciiTheme="minorHAnsi" w:hAnsiTheme="minorHAnsi"/>
                <w:b/>
                <w:color w:val="000000" w:themeColor="text1"/>
                <w:sz w:val="24"/>
                <w:szCs w:val="24"/>
              </w:rPr>
            </w:pPr>
            <w:r w:rsidRPr="00BA307E">
              <w:rPr>
                <w:rFonts w:asciiTheme="minorHAnsi" w:hAnsiTheme="minorHAnsi"/>
                <w:b/>
                <w:color w:val="000000" w:themeColor="text1"/>
              </w:rPr>
              <w:t>Should the regulatory framework be extended beyond just registered charities to cover other classes of not-for-profits?</w:t>
            </w:r>
            <w:r w:rsidRPr="000E72E1">
              <w:rPr>
                <w:rFonts w:asciiTheme="minorHAnsi" w:hAnsiTheme="minorHAnsi"/>
                <w:b/>
                <w:color w:val="000000" w:themeColor="text1"/>
                <w:sz w:val="24"/>
                <w:szCs w:val="24"/>
              </w:rPr>
              <w:t xml:space="preserve">  </w:t>
            </w:r>
          </w:p>
        </w:tc>
      </w:tr>
    </w:tbl>
    <w:p w:rsidR="00377F6C" w:rsidRPr="00377F6C" w:rsidRDefault="00377F6C" w:rsidP="00121B42">
      <w:pPr>
        <w:spacing w:before="240" w:after="120" w:line="240" w:lineRule="auto"/>
        <w:rPr>
          <w:rFonts w:asciiTheme="minorHAnsi" w:hAnsiTheme="minorHAnsi" w:cstheme="minorHAnsi"/>
          <w:b/>
          <w:i/>
        </w:rPr>
      </w:pPr>
      <w:r w:rsidRPr="00377F6C">
        <w:rPr>
          <w:rFonts w:asciiTheme="minorHAnsi" w:hAnsiTheme="minorHAnsi" w:cstheme="minorHAnsi"/>
          <w:b/>
          <w:i/>
        </w:rPr>
        <w:t>2.2 Extending the ACNC regulatory framework</w:t>
      </w:r>
    </w:p>
    <w:p w:rsidR="0006550B" w:rsidRPr="00F31004" w:rsidRDefault="002800CF" w:rsidP="00121B42">
      <w:pPr>
        <w:spacing w:before="240" w:after="120" w:line="240" w:lineRule="auto"/>
        <w:rPr>
          <w:rFonts w:asciiTheme="minorHAnsi" w:hAnsiTheme="minorHAnsi" w:cstheme="minorHAnsi"/>
        </w:rPr>
      </w:pPr>
      <w:r w:rsidRPr="00F31004">
        <w:rPr>
          <w:rFonts w:asciiTheme="minorHAnsi" w:hAnsiTheme="minorHAnsi" w:cstheme="minorHAnsi"/>
        </w:rPr>
        <w:t xml:space="preserve">The ACNC estimates that there are approximately 7,500 companies limited by guarantee and 131,000 incorporated associations that are ‘non-charitable’ </w:t>
      </w:r>
      <w:r w:rsidR="00C86C87">
        <w:rPr>
          <w:rFonts w:asciiTheme="minorHAnsi" w:hAnsiTheme="minorHAnsi" w:cstheme="minorHAnsi"/>
        </w:rPr>
        <w:t>NFPs</w:t>
      </w:r>
      <w:r w:rsidRPr="00F31004">
        <w:rPr>
          <w:rFonts w:asciiTheme="minorHAnsi" w:hAnsiTheme="minorHAnsi" w:cstheme="minorHAnsi"/>
        </w:rPr>
        <w:t xml:space="preserve">.  </w:t>
      </w:r>
    </w:p>
    <w:p w:rsidR="0006550B" w:rsidRDefault="0006550B" w:rsidP="0013671B">
      <w:pPr>
        <w:spacing w:before="120" w:after="120" w:line="240" w:lineRule="auto"/>
        <w:rPr>
          <w:rFonts w:asciiTheme="minorHAnsi" w:hAnsiTheme="minorHAnsi" w:cstheme="minorHAnsi"/>
        </w:rPr>
      </w:pPr>
      <w:r w:rsidRPr="00F31004">
        <w:rPr>
          <w:rFonts w:asciiTheme="minorHAnsi" w:hAnsiTheme="minorHAnsi" w:cstheme="minorHAnsi"/>
        </w:rPr>
        <w:t xml:space="preserve">Arguably, there is a strong case </w:t>
      </w:r>
      <w:r w:rsidR="00F539E5" w:rsidRPr="00F31004">
        <w:rPr>
          <w:rFonts w:asciiTheme="minorHAnsi" w:hAnsiTheme="minorHAnsi" w:cstheme="minorHAnsi"/>
        </w:rPr>
        <w:t xml:space="preserve">to extend the </w:t>
      </w:r>
      <w:r w:rsidRPr="00F31004">
        <w:rPr>
          <w:rFonts w:asciiTheme="minorHAnsi" w:hAnsiTheme="minorHAnsi" w:cstheme="minorHAnsi"/>
        </w:rPr>
        <w:t xml:space="preserve">regulation </w:t>
      </w:r>
      <w:r w:rsidR="00F539E5" w:rsidRPr="00F31004">
        <w:rPr>
          <w:rFonts w:asciiTheme="minorHAnsi" w:hAnsiTheme="minorHAnsi" w:cstheme="minorHAnsi"/>
        </w:rPr>
        <w:t xml:space="preserve">ACNC offers charities to </w:t>
      </w:r>
      <w:r w:rsidRPr="00F31004">
        <w:rPr>
          <w:rFonts w:asciiTheme="minorHAnsi" w:hAnsiTheme="minorHAnsi" w:cstheme="minorHAnsi"/>
        </w:rPr>
        <w:t xml:space="preserve">non-charitable </w:t>
      </w:r>
      <w:r w:rsidR="00C86C87">
        <w:rPr>
          <w:rFonts w:asciiTheme="minorHAnsi" w:hAnsiTheme="minorHAnsi" w:cstheme="minorHAnsi"/>
        </w:rPr>
        <w:t>NFP</w:t>
      </w:r>
      <w:r w:rsidRPr="00F31004">
        <w:rPr>
          <w:rFonts w:asciiTheme="minorHAnsi" w:hAnsiTheme="minorHAnsi" w:cstheme="minorHAnsi"/>
        </w:rPr>
        <w:t xml:space="preserve"> organisations</w:t>
      </w:r>
      <w:r w:rsidR="00C86C87">
        <w:rPr>
          <w:rFonts w:asciiTheme="minorHAnsi" w:hAnsiTheme="minorHAnsi" w:cstheme="minorHAnsi"/>
        </w:rPr>
        <w:t xml:space="preserve">, and </w:t>
      </w:r>
      <w:r w:rsidR="00824037">
        <w:rPr>
          <w:rFonts w:asciiTheme="minorHAnsi" w:hAnsiTheme="minorHAnsi" w:cstheme="minorHAnsi"/>
        </w:rPr>
        <w:t xml:space="preserve">strengthen </w:t>
      </w:r>
      <w:r w:rsidR="0097713F">
        <w:rPr>
          <w:rFonts w:asciiTheme="minorHAnsi" w:hAnsiTheme="minorHAnsi" w:cstheme="minorHAnsi"/>
        </w:rPr>
        <w:t xml:space="preserve">public </w:t>
      </w:r>
      <w:r w:rsidRPr="00F31004">
        <w:rPr>
          <w:rFonts w:asciiTheme="minorHAnsi" w:hAnsiTheme="minorHAnsi" w:cstheme="minorHAnsi"/>
        </w:rPr>
        <w:t xml:space="preserve">trust </w:t>
      </w:r>
      <w:r w:rsidR="0097713F">
        <w:rPr>
          <w:rFonts w:asciiTheme="minorHAnsi" w:hAnsiTheme="minorHAnsi" w:cstheme="minorHAnsi"/>
        </w:rPr>
        <w:t xml:space="preserve">and confidence </w:t>
      </w:r>
      <w:r w:rsidRPr="00F31004">
        <w:rPr>
          <w:rFonts w:asciiTheme="minorHAnsi" w:hAnsiTheme="minorHAnsi" w:cstheme="minorHAnsi"/>
        </w:rPr>
        <w:t xml:space="preserve">across the </w:t>
      </w:r>
      <w:r w:rsidR="00F539E5" w:rsidRPr="00F31004">
        <w:rPr>
          <w:rFonts w:asciiTheme="minorHAnsi" w:hAnsiTheme="minorHAnsi" w:cstheme="minorHAnsi"/>
        </w:rPr>
        <w:t xml:space="preserve">whole </w:t>
      </w:r>
      <w:r w:rsidRPr="00F31004">
        <w:rPr>
          <w:rFonts w:asciiTheme="minorHAnsi" w:hAnsiTheme="minorHAnsi" w:cstheme="minorHAnsi"/>
        </w:rPr>
        <w:t xml:space="preserve">sector and promote high standards of service.  </w:t>
      </w:r>
    </w:p>
    <w:p w:rsidR="00AF56D0" w:rsidRPr="00FF2B1C" w:rsidRDefault="00AF56D0" w:rsidP="00AF56D0">
      <w:pPr>
        <w:spacing w:before="120" w:after="120" w:line="240" w:lineRule="auto"/>
        <w:rPr>
          <w:rFonts w:asciiTheme="minorHAnsi" w:hAnsiTheme="minorHAnsi" w:cstheme="minorHAnsi"/>
        </w:rPr>
      </w:pPr>
      <w:r w:rsidRPr="00FF2B1C">
        <w:rPr>
          <w:rFonts w:asciiTheme="minorHAnsi" w:hAnsiTheme="minorHAnsi" w:cstheme="minorHAnsi"/>
        </w:rPr>
        <w:t>In general, the Partnership supports the idea of a larger percentage of NFPs being on the ACNC register to ensure a single portal for potential donors and the public to access, subject to the caveats below.</w:t>
      </w:r>
    </w:p>
    <w:p w:rsidR="007743FD" w:rsidRPr="00F31004" w:rsidRDefault="00F539E5" w:rsidP="0013671B">
      <w:pPr>
        <w:spacing w:before="120" w:after="120" w:line="240" w:lineRule="auto"/>
        <w:rPr>
          <w:rFonts w:asciiTheme="minorHAnsi" w:hAnsiTheme="minorHAnsi" w:cstheme="minorHAnsi"/>
        </w:rPr>
      </w:pPr>
      <w:r w:rsidRPr="00FF2B1C">
        <w:rPr>
          <w:rFonts w:asciiTheme="minorHAnsi" w:hAnsiTheme="minorHAnsi" w:cstheme="minorHAnsi"/>
        </w:rPr>
        <w:t xml:space="preserve">However, </w:t>
      </w:r>
      <w:r w:rsidR="00FF5599" w:rsidRPr="00FF2B1C">
        <w:rPr>
          <w:rFonts w:asciiTheme="minorHAnsi" w:hAnsiTheme="minorHAnsi" w:cstheme="minorHAnsi"/>
        </w:rPr>
        <w:t xml:space="preserve">any extension of </w:t>
      </w:r>
      <w:r w:rsidR="002A0ECD" w:rsidRPr="00FF2B1C">
        <w:rPr>
          <w:rFonts w:asciiTheme="minorHAnsi" w:hAnsiTheme="minorHAnsi" w:cstheme="minorHAnsi"/>
        </w:rPr>
        <w:t xml:space="preserve">the </w:t>
      </w:r>
      <w:r w:rsidR="00E43B14" w:rsidRPr="00FF2B1C">
        <w:rPr>
          <w:rFonts w:asciiTheme="minorHAnsi" w:hAnsiTheme="minorHAnsi" w:cstheme="minorHAnsi"/>
        </w:rPr>
        <w:t>regulatory</w:t>
      </w:r>
      <w:r w:rsidR="002A0ECD" w:rsidRPr="00FF2B1C">
        <w:rPr>
          <w:rFonts w:asciiTheme="minorHAnsi" w:hAnsiTheme="minorHAnsi" w:cstheme="minorHAnsi"/>
        </w:rPr>
        <w:t xml:space="preserve"> framework needs to be proportionate to the risks</w:t>
      </w:r>
      <w:r w:rsidR="00FF5599" w:rsidRPr="00FF2B1C">
        <w:rPr>
          <w:rFonts w:asciiTheme="minorHAnsi" w:hAnsiTheme="minorHAnsi" w:cstheme="minorHAnsi"/>
        </w:rPr>
        <w:t xml:space="preserve"> as well as the potential benefits</w:t>
      </w:r>
      <w:r w:rsidR="002A0ECD" w:rsidRPr="00FF2B1C">
        <w:rPr>
          <w:rFonts w:asciiTheme="minorHAnsi" w:hAnsiTheme="minorHAnsi" w:cstheme="minorHAnsi"/>
        </w:rPr>
        <w:t xml:space="preserve">. </w:t>
      </w:r>
      <w:r w:rsidR="00C86C87" w:rsidRPr="00FF2B1C">
        <w:rPr>
          <w:rFonts w:asciiTheme="minorHAnsi" w:hAnsiTheme="minorHAnsi" w:cstheme="minorHAnsi"/>
        </w:rPr>
        <w:t xml:space="preserve">  The Partnership suggests </w:t>
      </w:r>
      <w:r w:rsidR="00824037">
        <w:rPr>
          <w:rFonts w:asciiTheme="minorHAnsi" w:hAnsiTheme="minorHAnsi" w:cstheme="minorHAnsi"/>
        </w:rPr>
        <w:t>some i</w:t>
      </w:r>
      <w:r w:rsidR="007743FD" w:rsidRPr="00FF2B1C">
        <w:rPr>
          <w:rFonts w:asciiTheme="minorHAnsi" w:hAnsiTheme="minorHAnsi" w:cstheme="minorHAnsi"/>
        </w:rPr>
        <w:t xml:space="preserve">ssues </w:t>
      </w:r>
      <w:r w:rsidR="00FF2376" w:rsidRPr="00FF2B1C">
        <w:rPr>
          <w:rFonts w:asciiTheme="minorHAnsi" w:hAnsiTheme="minorHAnsi" w:cstheme="minorHAnsi"/>
        </w:rPr>
        <w:t xml:space="preserve">the </w:t>
      </w:r>
      <w:r w:rsidR="00C86C87" w:rsidRPr="00FF2B1C">
        <w:rPr>
          <w:rFonts w:asciiTheme="minorHAnsi" w:hAnsiTheme="minorHAnsi" w:cstheme="minorHAnsi"/>
        </w:rPr>
        <w:t xml:space="preserve">Review </w:t>
      </w:r>
      <w:r w:rsidR="00FF2376" w:rsidRPr="00FF2B1C">
        <w:rPr>
          <w:rFonts w:asciiTheme="minorHAnsi" w:hAnsiTheme="minorHAnsi" w:cstheme="minorHAnsi"/>
        </w:rPr>
        <w:t xml:space="preserve">Panel should consider </w:t>
      </w:r>
      <w:r w:rsidR="007743FD" w:rsidRPr="00FF2B1C">
        <w:rPr>
          <w:rFonts w:asciiTheme="minorHAnsi" w:hAnsiTheme="minorHAnsi" w:cstheme="minorHAnsi"/>
        </w:rPr>
        <w:t>are:</w:t>
      </w:r>
    </w:p>
    <w:p w:rsidR="007743FD" w:rsidRDefault="00AC0EBE" w:rsidP="00AC0EBE">
      <w:pPr>
        <w:pStyle w:val="ListParagraph"/>
        <w:numPr>
          <w:ilvl w:val="0"/>
          <w:numId w:val="7"/>
        </w:numPr>
        <w:spacing w:before="120" w:after="120" w:line="240" w:lineRule="auto"/>
        <w:contextualSpacing w:val="0"/>
        <w:rPr>
          <w:rFonts w:asciiTheme="minorHAnsi" w:hAnsiTheme="minorHAnsi" w:cstheme="minorHAnsi"/>
        </w:rPr>
      </w:pPr>
      <w:r w:rsidRPr="00AC0EBE">
        <w:rPr>
          <w:rFonts w:asciiTheme="minorHAnsi" w:hAnsiTheme="minorHAnsi" w:cstheme="minorHAnsi"/>
        </w:rPr>
        <w:t>many NFPs have no or only a minimal legal form</w:t>
      </w:r>
      <w:r w:rsidR="007743FD" w:rsidRPr="00F31004">
        <w:rPr>
          <w:rFonts w:asciiTheme="minorHAnsi" w:hAnsiTheme="minorHAnsi" w:cstheme="minorHAnsi"/>
        </w:rPr>
        <w:t>, operate for the mutual benefit of members and are low risk in terms of likely breaches of public trust</w:t>
      </w:r>
      <w:r w:rsidR="002A0ECD" w:rsidRPr="00F31004">
        <w:rPr>
          <w:rFonts w:asciiTheme="minorHAnsi" w:hAnsiTheme="minorHAnsi" w:cstheme="minorHAnsi"/>
        </w:rPr>
        <w:t xml:space="preserve"> – would compliance costs outweigh expected benefits?</w:t>
      </w:r>
    </w:p>
    <w:p w:rsidR="00011DA4" w:rsidRPr="001E367C" w:rsidRDefault="00011DA4" w:rsidP="00011DA4">
      <w:pPr>
        <w:pStyle w:val="ListParagraph"/>
        <w:numPr>
          <w:ilvl w:val="0"/>
          <w:numId w:val="7"/>
        </w:numPr>
        <w:spacing w:before="120" w:after="120" w:line="240" w:lineRule="auto"/>
        <w:contextualSpacing w:val="0"/>
        <w:rPr>
          <w:rFonts w:asciiTheme="minorHAnsi" w:hAnsiTheme="minorHAnsi" w:cstheme="minorHAnsi"/>
        </w:rPr>
      </w:pPr>
      <w:r w:rsidRPr="001E367C">
        <w:rPr>
          <w:rFonts w:asciiTheme="minorHAnsi" w:hAnsiTheme="minorHAnsi" w:cstheme="minorHAnsi"/>
        </w:rPr>
        <w:t>a lack of effective sanctions or penalties the ACNC could exercise to ensure compliance from non-charity NFPs who come under the ACNC regulatory framework</w:t>
      </w:r>
    </w:p>
    <w:p w:rsidR="00B04F88" w:rsidRPr="001E367C" w:rsidRDefault="00B04F88" w:rsidP="00B04F88">
      <w:pPr>
        <w:pStyle w:val="ListParagraph"/>
        <w:numPr>
          <w:ilvl w:val="0"/>
          <w:numId w:val="7"/>
        </w:numPr>
        <w:spacing w:before="120" w:after="120" w:line="240" w:lineRule="auto"/>
        <w:ind w:left="714" w:hanging="357"/>
        <w:contextualSpacing w:val="0"/>
        <w:rPr>
          <w:rFonts w:asciiTheme="minorHAnsi" w:hAnsiTheme="minorHAnsi" w:cstheme="minorHAnsi"/>
        </w:rPr>
      </w:pPr>
      <w:r w:rsidRPr="001E367C">
        <w:rPr>
          <w:rFonts w:asciiTheme="minorHAnsi" w:hAnsiTheme="minorHAnsi" w:cstheme="minorHAnsi"/>
        </w:rPr>
        <w:t>whether the costs and risks associated with extension of the framework are proportionate to the actual or perceived problem(s) its seeks to address and the anticipated benefits for the sector, government and the public</w:t>
      </w:r>
    </w:p>
    <w:p w:rsidR="008776B1" w:rsidRPr="001E367C" w:rsidRDefault="008776B1" w:rsidP="001E367C">
      <w:pPr>
        <w:pStyle w:val="ListParagraph"/>
        <w:numPr>
          <w:ilvl w:val="0"/>
          <w:numId w:val="7"/>
        </w:numPr>
        <w:spacing w:before="120" w:after="120" w:line="240" w:lineRule="auto"/>
        <w:contextualSpacing w:val="0"/>
        <w:rPr>
          <w:rFonts w:asciiTheme="minorHAnsi" w:hAnsiTheme="minorHAnsi" w:cstheme="minorHAnsi"/>
        </w:rPr>
      </w:pPr>
      <w:r w:rsidRPr="001E367C">
        <w:rPr>
          <w:rFonts w:asciiTheme="minorHAnsi" w:hAnsiTheme="minorHAnsi" w:cstheme="minorHAnsi"/>
        </w:rPr>
        <w:t xml:space="preserve">unintended effects or perverse consequences of extending the framework, such as </w:t>
      </w:r>
      <w:r w:rsidR="001E367C" w:rsidRPr="001E367C">
        <w:rPr>
          <w:rFonts w:asciiTheme="minorHAnsi" w:hAnsiTheme="minorHAnsi" w:cstheme="minorHAnsi"/>
        </w:rPr>
        <w:t xml:space="preserve">additional compliance burden for </w:t>
      </w:r>
      <w:r w:rsidRPr="001E367C">
        <w:rPr>
          <w:rFonts w:asciiTheme="minorHAnsi" w:hAnsiTheme="minorHAnsi" w:cstheme="minorHAnsi"/>
        </w:rPr>
        <w:t>a significant number of small incorporated NFPs which currently operate under minimal reporting requirements to state/territory authorities</w:t>
      </w:r>
    </w:p>
    <w:p w:rsidR="00A96746" w:rsidRDefault="00A96746" w:rsidP="00B04F88">
      <w:pPr>
        <w:pStyle w:val="ListParagraph"/>
        <w:numPr>
          <w:ilvl w:val="0"/>
          <w:numId w:val="7"/>
        </w:numPr>
        <w:spacing w:before="120" w:after="120" w:line="240" w:lineRule="auto"/>
        <w:ind w:left="714" w:hanging="357"/>
        <w:contextualSpacing w:val="0"/>
        <w:rPr>
          <w:rFonts w:asciiTheme="minorHAnsi" w:hAnsiTheme="minorHAnsi" w:cstheme="minorHAnsi"/>
        </w:rPr>
      </w:pPr>
      <w:r w:rsidRPr="001E367C">
        <w:rPr>
          <w:rFonts w:asciiTheme="minorHAnsi" w:hAnsiTheme="minorHAnsi" w:cstheme="minorHAnsi"/>
        </w:rPr>
        <w:t>the sector is not homogenous, it is highly diverse which suggests a highly unequal distribution of effects and outcomes for charity and non-charity NFPs – large and small - across the entire sector</w:t>
      </w:r>
    </w:p>
    <w:p w:rsidR="00FF5599" w:rsidRPr="00817D74" w:rsidRDefault="00FF5599" w:rsidP="00B04F88">
      <w:pPr>
        <w:pStyle w:val="ListParagraph"/>
        <w:numPr>
          <w:ilvl w:val="0"/>
          <w:numId w:val="7"/>
        </w:numPr>
        <w:spacing w:before="120" w:after="120" w:line="240" w:lineRule="auto"/>
        <w:ind w:left="714" w:hanging="357"/>
        <w:contextualSpacing w:val="0"/>
        <w:rPr>
          <w:rFonts w:asciiTheme="minorHAnsi" w:hAnsiTheme="minorHAnsi" w:cstheme="minorHAnsi"/>
        </w:rPr>
      </w:pPr>
      <w:r w:rsidRPr="00817D74">
        <w:rPr>
          <w:rFonts w:asciiTheme="minorHAnsi" w:hAnsiTheme="minorHAnsi" w:cstheme="minorHAnsi"/>
        </w:rPr>
        <w:t xml:space="preserve">the possible pathways (and transitions) to extend appropriate </w:t>
      </w:r>
      <w:r w:rsidR="00760AC9" w:rsidRPr="00817D74">
        <w:rPr>
          <w:rFonts w:asciiTheme="minorHAnsi" w:hAnsiTheme="minorHAnsi" w:cstheme="minorHAnsi"/>
        </w:rPr>
        <w:t xml:space="preserve">levels of </w:t>
      </w:r>
      <w:r w:rsidRPr="00817D74">
        <w:rPr>
          <w:rFonts w:asciiTheme="minorHAnsi" w:hAnsiTheme="minorHAnsi" w:cstheme="minorHAnsi"/>
        </w:rPr>
        <w:t xml:space="preserve">regulation to different classes of </w:t>
      </w:r>
      <w:r w:rsidR="004C6030" w:rsidRPr="00817D74">
        <w:rPr>
          <w:rFonts w:asciiTheme="minorHAnsi" w:hAnsiTheme="minorHAnsi" w:cstheme="minorHAnsi"/>
        </w:rPr>
        <w:t xml:space="preserve">non-charity </w:t>
      </w:r>
      <w:r w:rsidRPr="00817D74">
        <w:rPr>
          <w:rFonts w:asciiTheme="minorHAnsi" w:hAnsiTheme="minorHAnsi" w:cstheme="minorHAnsi"/>
        </w:rPr>
        <w:t xml:space="preserve">NFPs (such as Co-Ops and Mutuals) </w:t>
      </w:r>
    </w:p>
    <w:p w:rsidR="00011DA4" w:rsidRPr="001E367C" w:rsidRDefault="00011DA4" w:rsidP="00011DA4">
      <w:pPr>
        <w:pStyle w:val="ListParagraph"/>
        <w:numPr>
          <w:ilvl w:val="0"/>
          <w:numId w:val="7"/>
        </w:numPr>
        <w:spacing w:before="120" w:after="120" w:line="240" w:lineRule="auto"/>
        <w:contextualSpacing w:val="0"/>
        <w:rPr>
          <w:rFonts w:asciiTheme="minorHAnsi" w:hAnsiTheme="minorHAnsi" w:cstheme="minorHAnsi"/>
        </w:rPr>
      </w:pPr>
      <w:r w:rsidRPr="001E367C">
        <w:rPr>
          <w:rFonts w:asciiTheme="minorHAnsi" w:hAnsiTheme="minorHAnsi" w:cstheme="minorHAnsi"/>
        </w:rPr>
        <w:t>the need to harmonise or streamline ACNC regulatory reporting and reporting requirements of state/territory authorities (e.g. annual filing of returns and fees) for a large number of small incorporated NFPs</w:t>
      </w:r>
    </w:p>
    <w:p w:rsidR="007743FD" w:rsidRPr="00F31004" w:rsidRDefault="007743FD" w:rsidP="00B04F88">
      <w:pPr>
        <w:pStyle w:val="ListParagraph"/>
        <w:numPr>
          <w:ilvl w:val="0"/>
          <w:numId w:val="7"/>
        </w:numPr>
        <w:spacing w:before="120" w:after="120" w:line="240" w:lineRule="auto"/>
        <w:ind w:left="714" w:hanging="357"/>
        <w:contextualSpacing w:val="0"/>
        <w:rPr>
          <w:rFonts w:asciiTheme="minorHAnsi" w:hAnsiTheme="minorHAnsi" w:cstheme="minorHAnsi"/>
        </w:rPr>
      </w:pPr>
      <w:r w:rsidRPr="00F31004">
        <w:rPr>
          <w:rFonts w:asciiTheme="minorHAnsi" w:hAnsiTheme="minorHAnsi" w:cstheme="minorHAnsi"/>
        </w:rPr>
        <w:t xml:space="preserve">expanding the ACNC’s reach would </w:t>
      </w:r>
      <w:r w:rsidR="00057E82" w:rsidRPr="00F31004">
        <w:rPr>
          <w:rFonts w:asciiTheme="minorHAnsi" w:hAnsiTheme="minorHAnsi" w:cstheme="minorHAnsi"/>
        </w:rPr>
        <w:t>require a commensurate increase in resources</w:t>
      </w:r>
      <w:r w:rsidRPr="00F31004">
        <w:rPr>
          <w:rFonts w:asciiTheme="minorHAnsi" w:hAnsiTheme="minorHAnsi" w:cstheme="minorHAnsi"/>
        </w:rPr>
        <w:t>, arguably not a well-targeted use of government spending</w:t>
      </w:r>
      <w:r w:rsidR="00C86C87">
        <w:rPr>
          <w:rFonts w:asciiTheme="minorHAnsi" w:hAnsiTheme="minorHAnsi" w:cstheme="minorHAnsi"/>
        </w:rPr>
        <w:t>, and</w:t>
      </w:r>
      <w:r w:rsidR="00057E82" w:rsidRPr="00F31004">
        <w:rPr>
          <w:rFonts w:asciiTheme="minorHAnsi" w:hAnsiTheme="minorHAnsi" w:cstheme="minorHAnsi"/>
        </w:rPr>
        <w:t xml:space="preserve"> </w:t>
      </w:r>
    </w:p>
    <w:p w:rsidR="002800CF" w:rsidRDefault="007743FD" w:rsidP="00B04F88">
      <w:pPr>
        <w:pStyle w:val="ListParagraph"/>
        <w:numPr>
          <w:ilvl w:val="0"/>
          <w:numId w:val="7"/>
        </w:numPr>
        <w:spacing w:before="120" w:after="120" w:line="240" w:lineRule="auto"/>
        <w:ind w:left="714" w:hanging="357"/>
        <w:contextualSpacing w:val="0"/>
        <w:rPr>
          <w:rFonts w:asciiTheme="minorHAnsi" w:hAnsiTheme="minorHAnsi" w:cstheme="minorHAnsi"/>
        </w:rPr>
      </w:pPr>
      <w:r w:rsidRPr="00F31004">
        <w:rPr>
          <w:rFonts w:asciiTheme="minorHAnsi" w:hAnsiTheme="minorHAnsi" w:cstheme="minorHAnsi"/>
        </w:rPr>
        <w:t xml:space="preserve">a </w:t>
      </w:r>
      <w:r w:rsidR="00596F71">
        <w:rPr>
          <w:rFonts w:asciiTheme="minorHAnsi" w:hAnsiTheme="minorHAnsi" w:cstheme="minorHAnsi"/>
        </w:rPr>
        <w:t xml:space="preserve">massive </w:t>
      </w:r>
      <w:r w:rsidR="00057E82" w:rsidRPr="00F31004">
        <w:rPr>
          <w:rFonts w:asciiTheme="minorHAnsi" w:hAnsiTheme="minorHAnsi" w:cstheme="minorHAnsi"/>
        </w:rPr>
        <w:t xml:space="preserve">expansion of ACNC responsibilities </w:t>
      </w:r>
      <w:r w:rsidR="00596F71">
        <w:rPr>
          <w:rFonts w:asciiTheme="minorHAnsi" w:hAnsiTheme="minorHAnsi" w:cstheme="minorHAnsi"/>
        </w:rPr>
        <w:t xml:space="preserve">(i.e. from </w:t>
      </w:r>
      <w:r w:rsidR="00BF4E12">
        <w:rPr>
          <w:rFonts w:asciiTheme="minorHAnsi" w:hAnsiTheme="minorHAnsi" w:cstheme="minorHAnsi"/>
        </w:rPr>
        <w:t>some 55,600 charities currently registered with the ACNC</w:t>
      </w:r>
      <w:r w:rsidR="0037548B">
        <w:rPr>
          <w:rStyle w:val="FootnoteReference"/>
          <w:rFonts w:asciiTheme="minorHAnsi" w:hAnsiTheme="minorHAnsi" w:cstheme="minorHAnsi"/>
        </w:rPr>
        <w:footnoteReference w:id="9"/>
      </w:r>
      <w:r w:rsidR="00BF4E12">
        <w:rPr>
          <w:rFonts w:asciiTheme="minorHAnsi" w:hAnsiTheme="minorHAnsi" w:cstheme="minorHAnsi"/>
        </w:rPr>
        <w:t xml:space="preserve"> </w:t>
      </w:r>
      <w:r w:rsidR="00596F71">
        <w:rPr>
          <w:rFonts w:asciiTheme="minorHAnsi" w:hAnsiTheme="minorHAnsi" w:cstheme="minorHAnsi"/>
        </w:rPr>
        <w:t>to</w:t>
      </w:r>
      <w:r w:rsidR="00AF0958">
        <w:rPr>
          <w:rFonts w:asciiTheme="minorHAnsi" w:hAnsiTheme="minorHAnsi" w:cstheme="minorHAnsi"/>
        </w:rPr>
        <w:t xml:space="preserve"> up to</w:t>
      </w:r>
      <w:r w:rsidR="0037548B">
        <w:rPr>
          <w:rFonts w:asciiTheme="minorHAnsi" w:hAnsiTheme="minorHAnsi" w:cstheme="minorHAnsi"/>
        </w:rPr>
        <w:t xml:space="preserve"> 600,000 </w:t>
      </w:r>
      <w:r w:rsidR="00AF0958">
        <w:rPr>
          <w:rFonts w:asciiTheme="minorHAnsi" w:hAnsiTheme="minorHAnsi" w:cstheme="minorHAnsi"/>
        </w:rPr>
        <w:t>NFP</w:t>
      </w:r>
      <w:r w:rsidR="00BF4E12">
        <w:rPr>
          <w:rFonts w:asciiTheme="minorHAnsi" w:hAnsiTheme="minorHAnsi" w:cstheme="minorHAnsi"/>
        </w:rPr>
        <w:t xml:space="preserve"> </w:t>
      </w:r>
      <w:r w:rsidR="0037548B">
        <w:rPr>
          <w:rFonts w:asciiTheme="minorHAnsi" w:hAnsiTheme="minorHAnsi" w:cstheme="minorHAnsi"/>
        </w:rPr>
        <w:t>organisations in Australia</w:t>
      </w:r>
      <w:r w:rsidR="0037548B">
        <w:rPr>
          <w:rStyle w:val="FootnoteReference"/>
          <w:rFonts w:asciiTheme="minorHAnsi" w:hAnsiTheme="minorHAnsi" w:cstheme="minorHAnsi"/>
        </w:rPr>
        <w:footnoteReference w:id="10"/>
      </w:r>
      <w:r w:rsidR="00AF0958">
        <w:rPr>
          <w:rFonts w:asciiTheme="minorHAnsi" w:hAnsiTheme="minorHAnsi" w:cstheme="minorHAnsi"/>
        </w:rPr>
        <w:t xml:space="preserve">) </w:t>
      </w:r>
      <w:r w:rsidR="00A90C0B">
        <w:rPr>
          <w:rFonts w:asciiTheme="minorHAnsi" w:hAnsiTheme="minorHAnsi" w:cstheme="minorHAnsi"/>
        </w:rPr>
        <w:t>w</w:t>
      </w:r>
      <w:r w:rsidRPr="00F31004">
        <w:rPr>
          <w:rFonts w:asciiTheme="minorHAnsi" w:hAnsiTheme="minorHAnsi" w:cstheme="minorHAnsi"/>
        </w:rPr>
        <w:t xml:space="preserve">ould </w:t>
      </w:r>
      <w:r w:rsidR="00F539E5" w:rsidRPr="00F31004">
        <w:rPr>
          <w:rFonts w:asciiTheme="minorHAnsi" w:hAnsiTheme="minorHAnsi" w:cstheme="minorHAnsi"/>
        </w:rPr>
        <w:t>i</w:t>
      </w:r>
      <w:r w:rsidR="00057E82" w:rsidRPr="00F31004">
        <w:rPr>
          <w:rFonts w:asciiTheme="minorHAnsi" w:hAnsiTheme="minorHAnsi" w:cstheme="minorHAnsi"/>
        </w:rPr>
        <w:t xml:space="preserve">mpinge on its ability to robustly regulate charities and to continue to give Australian donors confidence to </w:t>
      </w:r>
      <w:r w:rsidR="00824037">
        <w:rPr>
          <w:rFonts w:asciiTheme="minorHAnsi" w:hAnsiTheme="minorHAnsi" w:cstheme="minorHAnsi"/>
        </w:rPr>
        <w:t xml:space="preserve">grow </w:t>
      </w:r>
      <w:r w:rsidR="00835459" w:rsidRPr="00F31004">
        <w:rPr>
          <w:rFonts w:asciiTheme="minorHAnsi" w:hAnsiTheme="minorHAnsi" w:cstheme="minorHAnsi"/>
        </w:rPr>
        <w:t>philanthropy</w:t>
      </w:r>
      <w:r w:rsidR="00057E82" w:rsidRPr="00F31004">
        <w:rPr>
          <w:rFonts w:asciiTheme="minorHAnsi" w:hAnsiTheme="minorHAnsi" w:cstheme="minorHAnsi"/>
        </w:rPr>
        <w:t xml:space="preserve">. </w:t>
      </w:r>
    </w:p>
    <w:p w:rsidR="007743FD" w:rsidRPr="00F31004" w:rsidRDefault="00C86C87" w:rsidP="0013671B">
      <w:pPr>
        <w:spacing w:before="120" w:after="120" w:line="240" w:lineRule="auto"/>
        <w:rPr>
          <w:rFonts w:asciiTheme="minorHAnsi" w:hAnsiTheme="minorHAnsi" w:cstheme="minorHAnsi"/>
        </w:rPr>
      </w:pPr>
      <w:r>
        <w:rPr>
          <w:rFonts w:asciiTheme="minorHAnsi" w:hAnsiTheme="minorHAnsi" w:cstheme="minorHAnsi"/>
        </w:rPr>
        <w:t>The Partnership suggests that a</w:t>
      </w:r>
      <w:r w:rsidR="00F539E5" w:rsidRPr="00F31004">
        <w:rPr>
          <w:rFonts w:asciiTheme="minorHAnsi" w:hAnsiTheme="minorHAnsi" w:cstheme="minorHAnsi"/>
        </w:rPr>
        <w:t>n alternative could be a partial expansion</w:t>
      </w:r>
      <w:r>
        <w:rPr>
          <w:rFonts w:asciiTheme="minorHAnsi" w:hAnsiTheme="minorHAnsi" w:cstheme="minorHAnsi"/>
        </w:rPr>
        <w:t xml:space="preserve"> of the ACNC regulatory framework </w:t>
      </w:r>
      <w:r w:rsidR="00F539E5" w:rsidRPr="00F31004">
        <w:rPr>
          <w:rFonts w:asciiTheme="minorHAnsi" w:hAnsiTheme="minorHAnsi" w:cstheme="minorHAnsi"/>
        </w:rPr>
        <w:t xml:space="preserve">to particular classes of </w:t>
      </w:r>
      <w:r>
        <w:rPr>
          <w:rFonts w:asciiTheme="minorHAnsi" w:hAnsiTheme="minorHAnsi" w:cstheme="minorHAnsi"/>
        </w:rPr>
        <w:t>NFPs</w:t>
      </w:r>
      <w:r w:rsidR="00F539E5" w:rsidRPr="00F31004">
        <w:rPr>
          <w:rFonts w:asciiTheme="minorHAnsi" w:hAnsiTheme="minorHAnsi" w:cstheme="minorHAnsi"/>
        </w:rPr>
        <w:t>, in particular those that attract tax concessions i</w:t>
      </w:r>
      <w:r>
        <w:rPr>
          <w:rFonts w:asciiTheme="minorHAnsi" w:hAnsiTheme="minorHAnsi" w:cstheme="minorHAnsi"/>
        </w:rPr>
        <w:t>.</w:t>
      </w:r>
      <w:r w:rsidR="00F539E5" w:rsidRPr="00F31004">
        <w:rPr>
          <w:rFonts w:asciiTheme="minorHAnsi" w:hAnsiTheme="minorHAnsi" w:cstheme="minorHAnsi"/>
        </w:rPr>
        <w:t>e</w:t>
      </w:r>
      <w:r>
        <w:rPr>
          <w:rFonts w:asciiTheme="minorHAnsi" w:hAnsiTheme="minorHAnsi" w:cstheme="minorHAnsi"/>
        </w:rPr>
        <w:t>.</w:t>
      </w:r>
      <w:r w:rsidR="00F539E5" w:rsidRPr="00F31004">
        <w:rPr>
          <w:rFonts w:asciiTheme="minorHAnsi" w:hAnsiTheme="minorHAnsi" w:cstheme="minorHAnsi"/>
        </w:rPr>
        <w:t xml:space="preserve"> </w:t>
      </w:r>
      <w:r>
        <w:rPr>
          <w:rFonts w:asciiTheme="minorHAnsi" w:hAnsiTheme="minorHAnsi" w:cstheme="minorHAnsi"/>
        </w:rPr>
        <w:t xml:space="preserve">licensed </w:t>
      </w:r>
      <w:r w:rsidR="00F539E5" w:rsidRPr="00F31004">
        <w:rPr>
          <w:rFonts w:asciiTheme="minorHAnsi" w:hAnsiTheme="minorHAnsi" w:cstheme="minorHAnsi"/>
        </w:rPr>
        <w:t>clubs</w:t>
      </w:r>
      <w:r w:rsidR="007743FD" w:rsidRPr="00F31004">
        <w:rPr>
          <w:rFonts w:asciiTheme="minorHAnsi" w:hAnsiTheme="minorHAnsi" w:cstheme="minorHAnsi"/>
        </w:rPr>
        <w:t xml:space="preserve"> and/or larger </w:t>
      </w:r>
      <w:r>
        <w:rPr>
          <w:rFonts w:asciiTheme="minorHAnsi" w:hAnsiTheme="minorHAnsi" w:cstheme="minorHAnsi"/>
        </w:rPr>
        <w:t xml:space="preserve">NFPs </w:t>
      </w:r>
      <w:r w:rsidR="007743FD" w:rsidRPr="00F31004">
        <w:rPr>
          <w:rFonts w:asciiTheme="minorHAnsi" w:hAnsiTheme="minorHAnsi" w:cstheme="minorHAnsi"/>
        </w:rPr>
        <w:t>and those that operate in multiple jurisdictions</w:t>
      </w:r>
      <w:r w:rsidR="00F539E5" w:rsidRPr="00F31004">
        <w:rPr>
          <w:rFonts w:asciiTheme="minorHAnsi" w:hAnsiTheme="minorHAnsi" w:cstheme="minorHAnsi"/>
        </w:rPr>
        <w:t xml:space="preserve">.  </w:t>
      </w:r>
    </w:p>
    <w:p w:rsidR="00F539E5" w:rsidRDefault="003523B0" w:rsidP="0013671B">
      <w:pPr>
        <w:spacing w:before="120" w:after="120" w:line="240" w:lineRule="auto"/>
        <w:rPr>
          <w:rFonts w:asciiTheme="minorHAnsi" w:hAnsiTheme="minorHAnsi" w:cstheme="minorHAnsi"/>
        </w:rPr>
      </w:pPr>
      <w:r>
        <w:rPr>
          <w:rFonts w:asciiTheme="minorHAnsi" w:hAnsiTheme="minorHAnsi" w:cstheme="minorHAnsi"/>
        </w:rPr>
        <w:t>The Partnership considers attention should be given to h</w:t>
      </w:r>
      <w:r w:rsidR="00817D74">
        <w:rPr>
          <w:rFonts w:asciiTheme="minorHAnsi" w:hAnsiTheme="minorHAnsi" w:cstheme="minorHAnsi"/>
        </w:rPr>
        <w:t>ow (or if) n</w:t>
      </w:r>
      <w:r w:rsidR="00F539E5" w:rsidRPr="00F31004">
        <w:rPr>
          <w:rFonts w:asciiTheme="minorHAnsi" w:hAnsiTheme="minorHAnsi" w:cstheme="minorHAnsi"/>
        </w:rPr>
        <w:t xml:space="preserve">on-charitable </w:t>
      </w:r>
      <w:r w:rsidR="00C86C87">
        <w:rPr>
          <w:rFonts w:asciiTheme="minorHAnsi" w:hAnsiTheme="minorHAnsi" w:cstheme="minorHAnsi"/>
        </w:rPr>
        <w:t>NFPs</w:t>
      </w:r>
      <w:r w:rsidR="00F539E5" w:rsidRPr="00F31004">
        <w:rPr>
          <w:rFonts w:asciiTheme="minorHAnsi" w:hAnsiTheme="minorHAnsi" w:cstheme="minorHAnsi"/>
        </w:rPr>
        <w:t xml:space="preserve"> could be supported to greater levels of self-regulation through </w:t>
      </w:r>
      <w:r w:rsidR="00FF2376">
        <w:rPr>
          <w:rFonts w:asciiTheme="minorHAnsi" w:hAnsiTheme="minorHAnsi" w:cstheme="minorHAnsi"/>
        </w:rPr>
        <w:t xml:space="preserve">voluntary </w:t>
      </w:r>
      <w:r w:rsidR="00F539E5" w:rsidRPr="00F31004">
        <w:rPr>
          <w:rFonts w:asciiTheme="minorHAnsi" w:hAnsiTheme="minorHAnsi" w:cstheme="minorHAnsi"/>
        </w:rPr>
        <w:t>codes of conduct. This could both increase public trust and would be aligned to a</w:t>
      </w:r>
      <w:r w:rsidR="007743FD" w:rsidRPr="00F31004">
        <w:rPr>
          <w:rFonts w:asciiTheme="minorHAnsi" w:hAnsiTheme="minorHAnsi" w:cstheme="minorHAnsi"/>
        </w:rPr>
        <w:t>n</w:t>
      </w:r>
      <w:r w:rsidR="00F539E5" w:rsidRPr="00F31004">
        <w:rPr>
          <w:rFonts w:asciiTheme="minorHAnsi" w:hAnsiTheme="minorHAnsi" w:cstheme="minorHAnsi"/>
        </w:rPr>
        <w:t xml:space="preserve"> empowered </w:t>
      </w:r>
      <w:r w:rsidR="007743FD" w:rsidRPr="00F31004">
        <w:rPr>
          <w:rFonts w:asciiTheme="minorHAnsi" w:hAnsiTheme="minorHAnsi" w:cstheme="minorHAnsi"/>
        </w:rPr>
        <w:t xml:space="preserve">sector committed </w:t>
      </w:r>
      <w:r w:rsidR="00F539E5" w:rsidRPr="00F31004">
        <w:rPr>
          <w:rFonts w:asciiTheme="minorHAnsi" w:hAnsiTheme="minorHAnsi" w:cstheme="minorHAnsi"/>
        </w:rPr>
        <w:t>to determine its own future, build its capability</w:t>
      </w:r>
      <w:r w:rsidR="00C86C87">
        <w:rPr>
          <w:rFonts w:asciiTheme="minorHAnsi" w:hAnsiTheme="minorHAnsi" w:cstheme="minorHAnsi"/>
        </w:rPr>
        <w:t>, effectively manage its resources</w:t>
      </w:r>
      <w:r w:rsidR="00F539E5" w:rsidRPr="00F31004">
        <w:rPr>
          <w:rFonts w:asciiTheme="minorHAnsi" w:hAnsiTheme="minorHAnsi" w:cstheme="minorHAnsi"/>
        </w:rPr>
        <w:t xml:space="preserve"> and drive innovation</w:t>
      </w:r>
      <w:r w:rsidR="007743FD" w:rsidRPr="00F31004">
        <w:rPr>
          <w:rFonts w:asciiTheme="minorHAnsi" w:hAnsiTheme="minorHAnsi" w:cstheme="minorHAnsi"/>
        </w:rPr>
        <w:t>.</w:t>
      </w:r>
    </w:p>
    <w:p w:rsidR="007743FD" w:rsidRPr="00910E1F" w:rsidRDefault="007743FD" w:rsidP="004D435D">
      <w:pPr>
        <w:spacing w:before="120" w:after="240" w:line="240" w:lineRule="auto"/>
        <w:rPr>
          <w:rFonts w:asciiTheme="minorHAnsi" w:hAnsiTheme="minorHAnsi" w:cstheme="minorHAnsi"/>
        </w:rPr>
      </w:pPr>
      <w:r w:rsidRPr="000D2B47">
        <w:rPr>
          <w:rFonts w:asciiTheme="minorHAnsi" w:hAnsiTheme="minorHAnsi" w:cstheme="minorHAnsi"/>
        </w:rPr>
        <w:t>In addition, consideration could be given to the current legal structures available to NFPs</w:t>
      </w:r>
      <w:r w:rsidR="00AD0FB5" w:rsidRPr="000D2B47">
        <w:rPr>
          <w:rFonts w:asciiTheme="minorHAnsi" w:hAnsiTheme="minorHAnsi" w:cstheme="minorHAnsi"/>
        </w:rPr>
        <w:t xml:space="preserve"> (including social enterprises)</w:t>
      </w:r>
      <w:r w:rsidRPr="000D2B47">
        <w:rPr>
          <w:rFonts w:asciiTheme="minorHAnsi" w:hAnsiTheme="minorHAnsi" w:cstheme="minorHAnsi"/>
        </w:rPr>
        <w:t>, and whether Government reform in this area would provide NFPs with a more simplified, consistent and fit-for-purpose regulatory environment.</w:t>
      </w:r>
      <w:r w:rsidRPr="00F31004">
        <w:rPr>
          <w:rFonts w:asciiTheme="minorHAnsi" w:hAnsiTheme="minorHAnsi" w:cstheme="minorHAnsi"/>
        </w:rPr>
        <w:t xml:space="preserve"> </w:t>
      </w:r>
      <w:r w:rsidR="00196C84">
        <w:rPr>
          <w:rFonts w:asciiTheme="minorHAnsi" w:hAnsiTheme="minorHAnsi" w:cstheme="minorHAnsi"/>
        </w:rPr>
        <w:t xml:space="preserve">  </w:t>
      </w:r>
      <w:r w:rsidR="00196C84" w:rsidRPr="00910E1F">
        <w:rPr>
          <w:rFonts w:asciiTheme="minorHAnsi" w:hAnsiTheme="minorHAnsi" w:cstheme="minorHAnsi"/>
        </w:rPr>
        <w:t>There are, however, some categories of NFPs that may require exclusion from any blanket changes, such as</w:t>
      </w:r>
      <w:r w:rsidR="00134D28" w:rsidRPr="00910E1F">
        <w:rPr>
          <w:rFonts w:asciiTheme="minorHAnsi" w:hAnsiTheme="minorHAnsi" w:cstheme="minorHAnsi"/>
        </w:rPr>
        <w:t xml:space="preserve"> exclusion of</w:t>
      </w:r>
      <w:r w:rsidR="00196C84" w:rsidRPr="00910E1F">
        <w:rPr>
          <w:rFonts w:asciiTheme="minorHAnsi" w:hAnsiTheme="minorHAnsi" w:cstheme="minorHAnsi"/>
        </w:rPr>
        <w:t>:</w:t>
      </w:r>
    </w:p>
    <w:p w:rsidR="00196C84" w:rsidRPr="00910E1F" w:rsidRDefault="00134D28" w:rsidP="005131E3">
      <w:pPr>
        <w:pStyle w:val="ListParagraph"/>
        <w:numPr>
          <w:ilvl w:val="0"/>
          <w:numId w:val="28"/>
        </w:numPr>
        <w:spacing w:before="120" w:after="120" w:line="240" w:lineRule="auto"/>
        <w:ind w:left="714" w:hanging="357"/>
        <w:contextualSpacing w:val="0"/>
        <w:rPr>
          <w:rFonts w:asciiTheme="minorHAnsi" w:hAnsiTheme="minorHAnsi" w:cstheme="minorHAnsi"/>
        </w:rPr>
      </w:pPr>
      <w:r w:rsidRPr="00910E1F">
        <w:rPr>
          <w:rFonts w:asciiTheme="minorHAnsi" w:hAnsiTheme="minorHAnsi" w:cstheme="minorHAnsi"/>
        </w:rPr>
        <w:t>I</w:t>
      </w:r>
      <w:r w:rsidR="00196C84" w:rsidRPr="00910E1F">
        <w:rPr>
          <w:rFonts w:asciiTheme="minorHAnsi" w:hAnsiTheme="minorHAnsi" w:cstheme="minorHAnsi"/>
        </w:rPr>
        <w:t xml:space="preserve">ndigenous NFP organisations currently regulated by </w:t>
      </w:r>
      <w:r w:rsidR="008C6A3A" w:rsidRPr="00910E1F">
        <w:rPr>
          <w:rFonts w:asciiTheme="minorHAnsi" w:hAnsiTheme="minorHAnsi" w:cstheme="minorHAnsi"/>
        </w:rPr>
        <w:t>the Office of the Registrar of Indigenous Corporations (</w:t>
      </w:r>
      <w:r w:rsidR="00196C84" w:rsidRPr="00910E1F">
        <w:rPr>
          <w:rFonts w:asciiTheme="minorHAnsi" w:hAnsiTheme="minorHAnsi" w:cstheme="minorHAnsi"/>
        </w:rPr>
        <w:t>ORIC</w:t>
      </w:r>
      <w:r w:rsidR="008C6A3A" w:rsidRPr="00910E1F">
        <w:rPr>
          <w:rFonts w:asciiTheme="minorHAnsi" w:hAnsiTheme="minorHAnsi" w:cstheme="minorHAnsi"/>
        </w:rPr>
        <w:t>),</w:t>
      </w:r>
      <w:r w:rsidR="00196C84" w:rsidRPr="00910E1F">
        <w:rPr>
          <w:rFonts w:asciiTheme="minorHAnsi" w:hAnsiTheme="minorHAnsi" w:cstheme="minorHAnsi"/>
        </w:rPr>
        <w:t xml:space="preserve"> and</w:t>
      </w:r>
    </w:p>
    <w:p w:rsidR="00196C84" w:rsidRPr="00910E1F" w:rsidRDefault="00134D28" w:rsidP="005131E3">
      <w:pPr>
        <w:pStyle w:val="ListParagraph"/>
        <w:numPr>
          <w:ilvl w:val="0"/>
          <w:numId w:val="28"/>
        </w:numPr>
        <w:spacing w:before="120" w:after="120" w:line="240" w:lineRule="auto"/>
        <w:ind w:left="714" w:hanging="357"/>
        <w:contextualSpacing w:val="0"/>
        <w:rPr>
          <w:rFonts w:asciiTheme="minorHAnsi" w:hAnsiTheme="minorHAnsi" w:cstheme="minorHAnsi"/>
        </w:rPr>
      </w:pPr>
      <w:r w:rsidRPr="00910E1F">
        <w:rPr>
          <w:rFonts w:asciiTheme="minorHAnsi" w:hAnsiTheme="minorHAnsi" w:cstheme="minorHAnsi"/>
        </w:rPr>
        <w:t>S</w:t>
      </w:r>
      <w:r w:rsidR="00196C84" w:rsidRPr="00910E1F">
        <w:rPr>
          <w:rFonts w:asciiTheme="minorHAnsi" w:hAnsiTheme="minorHAnsi" w:cstheme="minorHAnsi"/>
        </w:rPr>
        <w:t xml:space="preserve">ocial enterprises which operate as for-profit </w:t>
      </w:r>
      <w:r w:rsidRPr="00910E1F">
        <w:rPr>
          <w:rFonts w:asciiTheme="minorHAnsi" w:hAnsiTheme="minorHAnsi" w:cstheme="minorHAnsi"/>
        </w:rPr>
        <w:t xml:space="preserve">business </w:t>
      </w:r>
      <w:r w:rsidR="00196C84" w:rsidRPr="00910E1F">
        <w:rPr>
          <w:rFonts w:asciiTheme="minorHAnsi" w:hAnsiTheme="minorHAnsi" w:cstheme="minorHAnsi"/>
        </w:rPr>
        <w:t xml:space="preserve">entities with a social purpose, which </w:t>
      </w:r>
      <w:r w:rsidR="008C6A3A" w:rsidRPr="00910E1F">
        <w:rPr>
          <w:rFonts w:asciiTheme="minorHAnsi" w:hAnsiTheme="minorHAnsi" w:cstheme="minorHAnsi"/>
        </w:rPr>
        <w:t>reflects the b</w:t>
      </w:r>
      <w:r w:rsidRPr="00910E1F">
        <w:rPr>
          <w:rFonts w:asciiTheme="minorHAnsi" w:hAnsiTheme="minorHAnsi" w:cstheme="minorHAnsi"/>
        </w:rPr>
        <w:t>ifurcation of the social enterprise sector</w:t>
      </w:r>
      <w:r w:rsidR="00DA09BE" w:rsidRPr="00910E1F">
        <w:rPr>
          <w:rFonts w:asciiTheme="minorHAnsi" w:hAnsiTheme="minorHAnsi" w:cstheme="minorHAnsi"/>
        </w:rPr>
        <w:t xml:space="preserve"> between NFP and for-profit enterprises</w:t>
      </w:r>
      <w:r w:rsidRPr="00910E1F">
        <w:rPr>
          <w:rFonts w:asciiTheme="minorHAnsi" w:hAnsiTheme="minorHAnsi" w:cstheme="minorHAnsi"/>
        </w:rPr>
        <w:t>.</w:t>
      </w:r>
      <w:r w:rsidR="00196C84" w:rsidRPr="00910E1F">
        <w:rPr>
          <w:rFonts w:asciiTheme="minorHAnsi" w:hAnsiTheme="minorHAnsi" w:cstheme="minorHAnsi"/>
        </w:rPr>
        <w:t xml:space="preserve"> </w:t>
      </w:r>
    </w:p>
    <w:p w:rsidR="00817D74" w:rsidRDefault="00817D74" w:rsidP="00FA69BB">
      <w:pPr>
        <w:spacing w:before="120" w:after="120" w:line="240" w:lineRule="auto"/>
        <w:rPr>
          <w:rFonts w:asciiTheme="minorHAnsi" w:hAnsiTheme="minorHAnsi" w:cstheme="minorHAnsi"/>
        </w:rPr>
      </w:pPr>
    </w:p>
    <w:p w:rsidR="005131E3" w:rsidRPr="00817D74" w:rsidRDefault="005131E3" w:rsidP="00FA69BB">
      <w:pPr>
        <w:spacing w:before="120" w:after="120" w:line="240" w:lineRule="auto"/>
        <w:rPr>
          <w:rFonts w:asciiTheme="minorHAnsi" w:hAnsiTheme="minorHAnsi" w:cstheme="minorHAnsi"/>
        </w:rPr>
      </w:pPr>
      <w:r w:rsidRPr="00817D74">
        <w:rPr>
          <w:rFonts w:asciiTheme="minorHAnsi" w:hAnsiTheme="minorHAnsi" w:cstheme="minorHAnsi"/>
        </w:rPr>
        <w:t>The Partnership notes the current exemption of basic religious charities from complying with the governance standards and from providing annual financial reports, regardless of the amount of their annual revenue.</w:t>
      </w:r>
    </w:p>
    <w:p w:rsidR="00A21D92" w:rsidRPr="00817D74" w:rsidRDefault="005131E3" w:rsidP="00FA69BB">
      <w:pPr>
        <w:spacing w:before="120" w:after="120" w:line="240" w:lineRule="auto"/>
        <w:rPr>
          <w:rFonts w:asciiTheme="minorHAnsi" w:hAnsiTheme="minorHAnsi" w:cstheme="minorHAnsi"/>
        </w:rPr>
      </w:pPr>
      <w:r w:rsidRPr="00817D74">
        <w:rPr>
          <w:rFonts w:asciiTheme="minorHAnsi" w:hAnsiTheme="minorHAnsi" w:cstheme="minorHAnsi"/>
        </w:rPr>
        <w:t xml:space="preserve">The Partnership considers a level playing </w:t>
      </w:r>
      <w:r w:rsidR="00817D74">
        <w:rPr>
          <w:rFonts w:asciiTheme="minorHAnsi" w:hAnsiTheme="minorHAnsi" w:cstheme="minorHAnsi"/>
        </w:rPr>
        <w:t>field</w:t>
      </w:r>
      <w:r w:rsidRPr="00817D74">
        <w:rPr>
          <w:rFonts w:asciiTheme="minorHAnsi" w:hAnsiTheme="minorHAnsi" w:cstheme="minorHAnsi"/>
        </w:rPr>
        <w:t xml:space="preserve"> should operate in respect of all charities, without regard to the religion or beliefs of the NFP</w:t>
      </w:r>
      <w:r w:rsidR="00DA5248" w:rsidRPr="00817D74">
        <w:rPr>
          <w:rFonts w:asciiTheme="minorHAnsi" w:hAnsiTheme="minorHAnsi" w:cstheme="minorHAnsi"/>
        </w:rPr>
        <w:t xml:space="preserve"> and its purpose</w:t>
      </w:r>
      <w:r w:rsidRPr="00817D74">
        <w:rPr>
          <w:rFonts w:asciiTheme="minorHAnsi" w:hAnsiTheme="minorHAnsi" w:cstheme="minorHAnsi"/>
        </w:rPr>
        <w:t xml:space="preserve">.  </w:t>
      </w:r>
      <w:r w:rsidR="00A21D92" w:rsidRPr="00817D74">
        <w:rPr>
          <w:rFonts w:asciiTheme="minorHAnsi" w:hAnsiTheme="minorHAnsi" w:cstheme="minorHAnsi"/>
        </w:rPr>
        <w:t xml:space="preserve">Greater transparency across religious charities is to be encouraged to ensure greater public trust and confidence. </w:t>
      </w:r>
    </w:p>
    <w:p w:rsidR="005131E3" w:rsidRDefault="005131E3" w:rsidP="00FA69BB">
      <w:pPr>
        <w:spacing w:before="120" w:after="120" w:line="240" w:lineRule="auto"/>
        <w:rPr>
          <w:rFonts w:asciiTheme="minorHAnsi" w:hAnsiTheme="minorHAnsi" w:cstheme="minorHAnsi"/>
        </w:rPr>
      </w:pPr>
      <w:r w:rsidRPr="00817D74">
        <w:rPr>
          <w:rFonts w:asciiTheme="minorHAnsi" w:hAnsiTheme="minorHAnsi" w:cstheme="minorHAnsi"/>
        </w:rPr>
        <w:t>We therefore suggest that the Review Panel should review the current blanket exemption that applies to basic religious charities to ensure a fair and equitable regulatory treatment of charities across the sector.</w:t>
      </w:r>
      <w:r>
        <w:rPr>
          <w:rFonts w:asciiTheme="minorHAnsi" w:hAnsiTheme="minorHAnsi" w:cstheme="minorHAnsi"/>
        </w:rPr>
        <w:t xml:space="preserve"> </w:t>
      </w:r>
    </w:p>
    <w:p w:rsidR="005131E3" w:rsidRPr="00FA69BB" w:rsidRDefault="005131E3" w:rsidP="00FA69BB">
      <w:pPr>
        <w:spacing w:before="120" w:after="120" w:line="240" w:lineRule="auto"/>
        <w:rPr>
          <w:rFonts w:asciiTheme="minorHAnsi" w:hAnsiTheme="minorHAnsi" w:cstheme="minorHAnsi"/>
        </w:rPr>
      </w:pPr>
    </w:p>
    <w:tbl>
      <w:tblPr>
        <w:tblStyle w:val="TableGrid"/>
        <w:tblW w:w="0" w:type="auto"/>
        <w:shd w:val="clear" w:color="auto" w:fill="C6D9F1" w:themeFill="text2" w:themeFillTint="33"/>
        <w:tblLook w:val="04A0" w:firstRow="1" w:lastRow="0" w:firstColumn="1" w:lastColumn="0" w:noHBand="0" w:noVBand="1"/>
        <w:tblDescription w:val="ToR focusing question:"/>
      </w:tblPr>
      <w:tblGrid>
        <w:gridCol w:w="9117"/>
      </w:tblGrid>
      <w:tr w:rsidR="005E3176" w:rsidTr="00B72FB0">
        <w:trPr>
          <w:tblHeader/>
        </w:trPr>
        <w:tc>
          <w:tcPr>
            <w:tcW w:w="9322" w:type="dxa"/>
            <w:shd w:val="clear" w:color="auto" w:fill="C6D9F1" w:themeFill="text2" w:themeFillTint="33"/>
          </w:tcPr>
          <w:p w:rsidR="005E3176" w:rsidRDefault="005E3176" w:rsidP="00121B42">
            <w:pPr>
              <w:pStyle w:val="OutlineNumbered1"/>
              <w:numPr>
                <w:ilvl w:val="0"/>
                <w:numId w:val="0"/>
              </w:numPr>
              <w:spacing w:before="120"/>
              <w:rPr>
                <w:rFonts w:asciiTheme="minorHAnsi" w:hAnsiTheme="minorHAnsi"/>
                <w:b/>
                <w:color w:val="000000" w:themeColor="text1"/>
                <w:szCs w:val="22"/>
              </w:rPr>
            </w:pPr>
            <w:r>
              <w:rPr>
                <w:rFonts w:asciiTheme="minorHAnsi" w:hAnsiTheme="minorHAnsi"/>
                <w:b/>
                <w:color w:val="000000" w:themeColor="text1"/>
                <w:szCs w:val="22"/>
              </w:rPr>
              <w:t>ToR focusing question:</w:t>
            </w:r>
          </w:p>
          <w:p w:rsidR="005E3176" w:rsidRDefault="005E3176" w:rsidP="00490CFD">
            <w:pPr>
              <w:pStyle w:val="OutlineNumbered1"/>
              <w:numPr>
                <w:ilvl w:val="0"/>
                <w:numId w:val="16"/>
              </w:numPr>
              <w:spacing w:after="240"/>
              <w:ind w:left="357" w:hanging="357"/>
              <w:rPr>
                <w:rFonts w:asciiTheme="minorHAnsi" w:hAnsiTheme="minorHAnsi"/>
                <w:b/>
                <w:color w:val="000000" w:themeColor="text1"/>
                <w:szCs w:val="22"/>
              </w:rPr>
            </w:pPr>
            <w:r w:rsidRPr="005E3176">
              <w:rPr>
                <w:rFonts w:asciiTheme="minorHAnsi" w:hAnsiTheme="minorHAnsi"/>
                <w:b/>
                <w:color w:val="000000" w:themeColor="text1"/>
              </w:rPr>
              <w:t>What activities or behaviours by charities and not-for-profits have the greatest ability to erode public trust and confidence in the sector?</w:t>
            </w:r>
          </w:p>
        </w:tc>
      </w:tr>
    </w:tbl>
    <w:p w:rsidR="00377F6C" w:rsidRPr="00377F6C" w:rsidRDefault="00377F6C" w:rsidP="004D435D">
      <w:pPr>
        <w:spacing w:before="240" w:after="120" w:line="240" w:lineRule="auto"/>
        <w:rPr>
          <w:rFonts w:asciiTheme="minorHAnsi" w:hAnsiTheme="minorHAnsi" w:cstheme="minorHAnsi"/>
          <w:b/>
          <w:i/>
        </w:rPr>
      </w:pPr>
      <w:r w:rsidRPr="00377F6C">
        <w:rPr>
          <w:rFonts w:asciiTheme="minorHAnsi" w:hAnsiTheme="minorHAnsi" w:cstheme="minorHAnsi"/>
          <w:b/>
          <w:i/>
        </w:rPr>
        <w:t xml:space="preserve">2.3  </w:t>
      </w:r>
      <w:r w:rsidR="003F628C">
        <w:rPr>
          <w:rFonts w:asciiTheme="minorHAnsi" w:hAnsiTheme="minorHAnsi" w:cstheme="minorHAnsi"/>
          <w:b/>
          <w:i/>
        </w:rPr>
        <w:t>B</w:t>
      </w:r>
      <w:r w:rsidRPr="00377F6C">
        <w:rPr>
          <w:rFonts w:asciiTheme="minorHAnsi" w:hAnsiTheme="minorHAnsi" w:cstheme="minorHAnsi"/>
          <w:b/>
          <w:i/>
        </w:rPr>
        <w:t xml:space="preserve">ehaviours </w:t>
      </w:r>
      <w:r w:rsidR="007337A5">
        <w:rPr>
          <w:rFonts w:asciiTheme="minorHAnsi" w:hAnsiTheme="minorHAnsi" w:cstheme="minorHAnsi"/>
          <w:b/>
          <w:i/>
        </w:rPr>
        <w:t xml:space="preserve">of charities </w:t>
      </w:r>
      <w:r w:rsidRPr="00377F6C">
        <w:rPr>
          <w:rFonts w:asciiTheme="minorHAnsi" w:hAnsiTheme="minorHAnsi" w:cstheme="minorHAnsi"/>
          <w:b/>
          <w:i/>
        </w:rPr>
        <w:t>that erode public trust and confidence</w:t>
      </w:r>
    </w:p>
    <w:p w:rsidR="002E29F2" w:rsidRDefault="00FF2376" w:rsidP="004D435D">
      <w:pPr>
        <w:spacing w:before="240" w:after="120" w:line="240" w:lineRule="auto"/>
        <w:rPr>
          <w:rFonts w:asciiTheme="minorHAnsi" w:hAnsiTheme="minorHAnsi" w:cstheme="minorHAnsi"/>
        </w:rPr>
      </w:pPr>
      <w:r w:rsidRPr="00E33613">
        <w:rPr>
          <w:rFonts w:asciiTheme="minorHAnsi" w:hAnsiTheme="minorHAnsi" w:cstheme="minorHAnsi"/>
        </w:rPr>
        <w:t xml:space="preserve">Any nefarious behaviour by charities and </w:t>
      </w:r>
      <w:r w:rsidR="007C52B1">
        <w:rPr>
          <w:rFonts w:asciiTheme="minorHAnsi" w:hAnsiTheme="minorHAnsi" w:cstheme="minorHAnsi"/>
        </w:rPr>
        <w:t>NFPs</w:t>
      </w:r>
      <w:r w:rsidRPr="00E33613">
        <w:rPr>
          <w:rFonts w:asciiTheme="minorHAnsi" w:hAnsiTheme="minorHAnsi" w:cstheme="minorHAnsi"/>
        </w:rPr>
        <w:t xml:space="preserve"> reflect</w:t>
      </w:r>
      <w:r w:rsidR="003B1F59">
        <w:rPr>
          <w:rFonts w:asciiTheme="minorHAnsi" w:hAnsiTheme="minorHAnsi" w:cstheme="minorHAnsi"/>
        </w:rPr>
        <w:t>s</w:t>
      </w:r>
      <w:r w:rsidRPr="00E33613">
        <w:rPr>
          <w:rFonts w:asciiTheme="minorHAnsi" w:hAnsiTheme="minorHAnsi" w:cstheme="minorHAnsi"/>
        </w:rPr>
        <w:t xml:space="preserve"> on the whole sector. </w:t>
      </w:r>
      <w:r w:rsidR="002E29F2" w:rsidRPr="00E33613">
        <w:rPr>
          <w:rFonts w:asciiTheme="minorHAnsi" w:hAnsiTheme="minorHAnsi" w:cstheme="minorHAnsi"/>
        </w:rPr>
        <w:t>Many established charities have shared their concerns with the Partnership about the potential for poor practice</w:t>
      </w:r>
      <w:r w:rsidR="007C52B1">
        <w:rPr>
          <w:rFonts w:asciiTheme="minorHAnsi" w:hAnsiTheme="minorHAnsi" w:cstheme="minorHAnsi"/>
        </w:rPr>
        <w:t>s</w:t>
      </w:r>
      <w:r w:rsidR="002E29F2" w:rsidRPr="00E33613">
        <w:rPr>
          <w:rFonts w:asciiTheme="minorHAnsi" w:hAnsiTheme="minorHAnsi" w:cstheme="minorHAnsi"/>
        </w:rPr>
        <w:t xml:space="preserve"> </w:t>
      </w:r>
      <w:r w:rsidR="007C52B1">
        <w:rPr>
          <w:rFonts w:asciiTheme="minorHAnsi" w:hAnsiTheme="minorHAnsi" w:cstheme="minorHAnsi"/>
        </w:rPr>
        <w:t>to</w:t>
      </w:r>
      <w:r w:rsidR="008215B4">
        <w:rPr>
          <w:rFonts w:asciiTheme="minorHAnsi" w:hAnsiTheme="minorHAnsi" w:cstheme="minorHAnsi"/>
        </w:rPr>
        <w:t xml:space="preserve"> </w:t>
      </w:r>
      <w:r w:rsidR="00E33613">
        <w:rPr>
          <w:rFonts w:asciiTheme="minorHAnsi" w:hAnsiTheme="minorHAnsi" w:cstheme="minorHAnsi"/>
        </w:rPr>
        <w:t xml:space="preserve">negatively </w:t>
      </w:r>
      <w:r w:rsidR="008215B4">
        <w:rPr>
          <w:rFonts w:asciiTheme="minorHAnsi" w:hAnsiTheme="minorHAnsi" w:cstheme="minorHAnsi"/>
        </w:rPr>
        <w:t>impact</w:t>
      </w:r>
      <w:r w:rsidR="002E29F2" w:rsidRPr="00E33613">
        <w:rPr>
          <w:rFonts w:asciiTheme="minorHAnsi" w:hAnsiTheme="minorHAnsi" w:cstheme="minorHAnsi"/>
        </w:rPr>
        <w:t xml:space="preserve"> </w:t>
      </w:r>
      <w:r w:rsidR="008215B4">
        <w:rPr>
          <w:rFonts w:asciiTheme="minorHAnsi" w:hAnsiTheme="minorHAnsi" w:cstheme="minorHAnsi"/>
        </w:rPr>
        <w:t xml:space="preserve">on </w:t>
      </w:r>
      <w:r w:rsidR="002E29F2" w:rsidRPr="00E33613">
        <w:rPr>
          <w:rFonts w:asciiTheme="minorHAnsi" w:hAnsiTheme="minorHAnsi" w:cstheme="minorHAnsi"/>
        </w:rPr>
        <w:t>fund raising</w:t>
      </w:r>
      <w:r w:rsidR="003B1F59">
        <w:rPr>
          <w:rFonts w:asciiTheme="minorHAnsi" w:hAnsiTheme="minorHAnsi" w:cstheme="minorHAnsi"/>
        </w:rPr>
        <w:t xml:space="preserve"> and retention and attracting of volunteers</w:t>
      </w:r>
      <w:r w:rsidR="002E29F2" w:rsidRPr="00E33613">
        <w:rPr>
          <w:rFonts w:asciiTheme="minorHAnsi" w:hAnsiTheme="minorHAnsi" w:cstheme="minorHAnsi"/>
        </w:rPr>
        <w:t xml:space="preserve">. </w:t>
      </w:r>
      <w:r w:rsidR="000E7943">
        <w:rPr>
          <w:rFonts w:asciiTheme="minorHAnsi" w:hAnsiTheme="minorHAnsi" w:cstheme="minorHAnsi"/>
        </w:rPr>
        <w:t xml:space="preserve"> </w:t>
      </w:r>
      <w:r w:rsidR="002E29F2" w:rsidRPr="00E33613">
        <w:rPr>
          <w:rFonts w:asciiTheme="minorHAnsi" w:hAnsiTheme="minorHAnsi" w:cstheme="minorHAnsi"/>
        </w:rPr>
        <w:t>Issues of concern</w:t>
      </w:r>
      <w:r w:rsidR="00E33613">
        <w:rPr>
          <w:rFonts w:asciiTheme="minorHAnsi" w:hAnsiTheme="minorHAnsi" w:cstheme="minorHAnsi"/>
        </w:rPr>
        <w:t xml:space="preserve"> raised in</w:t>
      </w:r>
      <w:r w:rsidR="007C52B1">
        <w:rPr>
          <w:rFonts w:asciiTheme="minorHAnsi" w:hAnsiTheme="minorHAnsi" w:cstheme="minorHAnsi"/>
        </w:rPr>
        <w:t xml:space="preserve"> the </w:t>
      </w:r>
      <w:r w:rsidR="002879FD" w:rsidRPr="00A76CC8">
        <w:rPr>
          <w:rFonts w:asciiTheme="minorHAnsi" w:hAnsiTheme="minorHAnsi" w:cstheme="minorHAnsi"/>
          <w:i/>
        </w:rPr>
        <w:t>Giving Australia</w:t>
      </w:r>
      <w:r w:rsidR="007C52B1">
        <w:rPr>
          <w:rFonts w:asciiTheme="minorHAnsi" w:hAnsiTheme="minorHAnsi" w:cstheme="minorHAnsi"/>
        </w:rPr>
        <w:t xml:space="preserve"> </w:t>
      </w:r>
      <w:r w:rsidR="003B1F59" w:rsidRPr="003B1F59">
        <w:rPr>
          <w:rFonts w:asciiTheme="minorHAnsi" w:hAnsiTheme="minorHAnsi" w:cstheme="minorHAnsi"/>
          <w:i/>
        </w:rPr>
        <w:t xml:space="preserve">2016 </w:t>
      </w:r>
      <w:r w:rsidR="007C52B1">
        <w:rPr>
          <w:rFonts w:asciiTheme="minorHAnsi" w:hAnsiTheme="minorHAnsi" w:cstheme="minorHAnsi"/>
        </w:rPr>
        <w:t>report</w:t>
      </w:r>
      <w:r w:rsidR="003B1F59">
        <w:rPr>
          <w:rStyle w:val="FootnoteReference"/>
          <w:rFonts w:asciiTheme="minorHAnsi" w:hAnsiTheme="minorHAnsi" w:cstheme="minorHAnsi"/>
        </w:rPr>
        <w:footnoteReference w:id="11"/>
      </w:r>
      <w:r w:rsidR="002879FD" w:rsidRPr="00E33613">
        <w:rPr>
          <w:rFonts w:asciiTheme="minorHAnsi" w:hAnsiTheme="minorHAnsi" w:cstheme="minorHAnsi"/>
        </w:rPr>
        <w:t xml:space="preserve"> </w:t>
      </w:r>
      <w:r w:rsidR="002E29F2">
        <w:rPr>
          <w:rFonts w:asciiTheme="minorHAnsi" w:hAnsiTheme="minorHAnsi" w:cstheme="minorHAnsi"/>
        </w:rPr>
        <w:t>include:</w:t>
      </w:r>
    </w:p>
    <w:p w:rsidR="002879FD" w:rsidRPr="00D835CA" w:rsidRDefault="00AC5C93" w:rsidP="00196C84">
      <w:pPr>
        <w:pStyle w:val="ListParagraph"/>
        <w:numPr>
          <w:ilvl w:val="0"/>
          <w:numId w:val="12"/>
        </w:numPr>
        <w:spacing w:before="120" w:after="120" w:line="240" w:lineRule="auto"/>
        <w:ind w:left="714" w:hanging="357"/>
        <w:contextualSpacing w:val="0"/>
        <w:rPr>
          <w:rFonts w:asciiTheme="minorHAnsi" w:hAnsiTheme="minorHAnsi" w:cstheme="minorHAnsi"/>
        </w:rPr>
      </w:pPr>
      <w:r w:rsidRPr="00D835CA">
        <w:rPr>
          <w:rFonts w:asciiTheme="minorHAnsi" w:hAnsiTheme="minorHAnsi" w:cstheme="minorHAnsi"/>
        </w:rPr>
        <w:t>c</w:t>
      </w:r>
      <w:r w:rsidR="002E29F2" w:rsidRPr="00D835CA">
        <w:rPr>
          <w:rFonts w:asciiTheme="minorHAnsi" w:hAnsiTheme="minorHAnsi" w:cstheme="minorHAnsi"/>
        </w:rPr>
        <w:t>harities that</w:t>
      </w:r>
      <w:r w:rsidR="00D835CA">
        <w:rPr>
          <w:rFonts w:asciiTheme="minorHAnsi" w:hAnsiTheme="minorHAnsi" w:cstheme="minorHAnsi"/>
        </w:rPr>
        <w:t xml:space="preserve"> are intrusive and/or</w:t>
      </w:r>
      <w:r w:rsidR="002E29F2" w:rsidRPr="00D835CA">
        <w:rPr>
          <w:rFonts w:asciiTheme="minorHAnsi" w:hAnsiTheme="minorHAnsi" w:cstheme="minorHAnsi"/>
        </w:rPr>
        <w:t xml:space="preserve"> exploit o</w:t>
      </w:r>
      <w:r w:rsidRPr="00D835CA">
        <w:rPr>
          <w:rFonts w:asciiTheme="minorHAnsi" w:hAnsiTheme="minorHAnsi" w:cstheme="minorHAnsi"/>
        </w:rPr>
        <w:t>r</w:t>
      </w:r>
      <w:r w:rsidR="002E29F2" w:rsidRPr="00D835CA">
        <w:rPr>
          <w:rFonts w:asciiTheme="minorHAnsi" w:hAnsiTheme="minorHAnsi" w:cstheme="minorHAnsi"/>
        </w:rPr>
        <w:t xml:space="preserve"> harass potential donors, for example excess</w:t>
      </w:r>
      <w:r w:rsidR="00FE4D20">
        <w:rPr>
          <w:rFonts w:asciiTheme="minorHAnsi" w:hAnsiTheme="minorHAnsi" w:cstheme="minorHAnsi"/>
        </w:rPr>
        <w:t>ive</w:t>
      </w:r>
      <w:r w:rsidR="002E29F2" w:rsidRPr="00D835CA">
        <w:rPr>
          <w:rFonts w:asciiTheme="minorHAnsi" w:hAnsiTheme="minorHAnsi" w:cstheme="minorHAnsi"/>
        </w:rPr>
        <w:t xml:space="preserve"> cold calls and mail, street ‘chuggers’ and reports of vulnerable citizens being ta</w:t>
      </w:r>
      <w:r w:rsidR="002879FD" w:rsidRPr="00D835CA">
        <w:rPr>
          <w:rFonts w:asciiTheme="minorHAnsi" w:hAnsiTheme="minorHAnsi" w:cstheme="minorHAnsi"/>
        </w:rPr>
        <w:t>k</w:t>
      </w:r>
      <w:r w:rsidR="002E29F2" w:rsidRPr="00D835CA">
        <w:rPr>
          <w:rFonts w:asciiTheme="minorHAnsi" w:hAnsiTheme="minorHAnsi" w:cstheme="minorHAnsi"/>
        </w:rPr>
        <w:t>en advan</w:t>
      </w:r>
      <w:r w:rsidR="002879FD" w:rsidRPr="00D835CA">
        <w:rPr>
          <w:rFonts w:asciiTheme="minorHAnsi" w:hAnsiTheme="minorHAnsi" w:cstheme="minorHAnsi"/>
        </w:rPr>
        <w:t>ta</w:t>
      </w:r>
      <w:r w:rsidR="002E29F2" w:rsidRPr="00D835CA">
        <w:rPr>
          <w:rFonts w:asciiTheme="minorHAnsi" w:hAnsiTheme="minorHAnsi" w:cstheme="minorHAnsi"/>
        </w:rPr>
        <w:t>ge of</w:t>
      </w:r>
      <w:r w:rsidR="00D835CA" w:rsidRPr="00D835CA">
        <w:rPr>
          <w:rStyle w:val="FootnoteReference"/>
          <w:rFonts w:asciiTheme="minorHAnsi" w:hAnsiTheme="minorHAnsi" w:cstheme="minorHAnsi"/>
        </w:rPr>
        <w:footnoteReference w:id="12"/>
      </w:r>
      <w:r w:rsidR="002E29F2" w:rsidRPr="00D835CA">
        <w:rPr>
          <w:rFonts w:asciiTheme="minorHAnsi" w:hAnsiTheme="minorHAnsi" w:cstheme="minorHAnsi"/>
        </w:rPr>
        <w:t xml:space="preserve">. </w:t>
      </w:r>
      <w:r w:rsidR="00D835CA" w:rsidRPr="00D835CA">
        <w:rPr>
          <w:rFonts w:asciiTheme="minorHAnsi" w:hAnsiTheme="minorHAnsi" w:cstheme="minorHAnsi"/>
        </w:rPr>
        <w:t xml:space="preserve">This pressure presents a dilemma for participants as they generally believe in the cause or know it is important, yet are reluctant to give under perceived pressure. Furthermore, the ‘polished spiel’ of street fundraisers was considered widely to lack authenticity and pointed to the commercialisation of giving, something that some </w:t>
      </w:r>
      <w:r w:rsidR="00D835CA">
        <w:rPr>
          <w:rFonts w:asciiTheme="minorHAnsi" w:hAnsiTheme="minorHAnsi" w:cstheme="minorHAnsi"/>
        </w:rPr>
        <w:t xml:space="preserve">research </w:t>
      </w:r>
      <w:r w:rsidR="00D835CA" w:rsidRPr="00D835CA">
        <w:rPr>
          <w:rFonts w:asciiTheme="minorHAnsi" w:hAnsiTheme="minorHAnsi" w:cstheme="minorHAnsi"/>
        </w:rPr>
        <w:t>participants found abhorrent, and many felt uncomfortable about</w:t>
      </w:r>
      <w:r w:rsidR="002E29F2" w:rsidRPr="00D835CA">
        <w:rPr>
          <w:rFonts w:asciiTheme="minorHAnsi" w:hAnsiTheme="minorHAnsi" w:cstheme="minorHAnsi"/>
        </w:rPr>
        <w:t xml:space="preserve"> </w:t>
      </w:r>
    </w:p>
    <w:p w:rsidR="002879FD" w:rsidRPr="00D835CA" w:rsidRDefault="002879FD" w:rsidP="00196C84">
      <w:pPr>
        <w:pStyle w:val="ListParagraph"/>
        <w:numPr>
          <w:ilvl w:val="0"/>
          <w:numId w:val="12"/>
        </w:numPr>
        <w:spacing w:before="120" w:after="120" w:line="240" w:lineRule="auto"/>
        <w:ind w:left="714" w:hanging="357"/>
        <w:contextualSpacing w:val="0"/>
        <w:rPr>
          <w:rFonts w:asciiTheme="minorHAnsi" w:hAnsiTheme="minorHAnsi" w:cstheme="minorHAnsi"/>
        </w:rPr>
      </w:pPr>
      <w:r w:rsidRPr="00D835CA">
        <w:rPr>
          <w:rFonts w:asciiTheme="minorHAnsi" w:hAnsiTheme="minorHAnsi" w:cstheme="minorHAnsi"/>
        </w:rPr>
        <w:t xml:space="preserve">the perception that charities need to reduce disproportionate fixed costs (e.g. administrative expenses), although noting the legitimate need for charities to invest in </w:t>
      </w:r>
      <w:r w:rsidR="00FE4D20">
        <w:rPr>
          <w:rFonts w:asciiTheme="minorHAnsi" w:hAnsiTheme="minorHAnsi" w:cstheme="minorHAnsi"/>
        </w:rPr>
        <w:t xml:space="preserve">technology, </w:t>
      </w:r>
      <w:r w:rsidRPr="00D835CA">
        <w:rPr>
          <w:rFonts w:asciiTheme="minorHAnsi" w:hAnsiTheme="minorHAnsi" w:cstheme="minorHAnsi"/>
        </w:rPr>
        <w:t xml:space="preserve">infrastructure and capacity </w:t>
      </w:r>
    </w:p>
    <w:p w:rsidR="001B1512" w:rsidRPr="00D835CA" w:rsidRDefault="00AC5C93" w:rsidP="00196C84">
      <w:pPr>
        <w:pStyle w:val="ListParagraph"/>
        <w:numPr>
          <w:ilvl w:val="0"/>
          <w:numId w:val="12"/>
        </w:numPr>
        <w:spacing w:before="120" w:after="120" w:line="240" w:lineRule="auto"/>
        <w:ind w:left="714" w:hanging="357"/>
        <w:contextualSpacing w:val="0"/>
        <w:rPr>
          <w:rFonts w:asciiTheme="minorHAnsi" w:hAnsiTheme="minorHAnsi" w:cstheme="minorHAnsi"/>
        </w:rPr>
      </w:pPr>
      <w:r w:rsidRPr="00D835CA">
        <w:rPr>
          <w:rFonts w:asciiTheme="minorHAnsi" w:hAnsiTheme="minorHAnsi" w:cstheme="minorHAnsi"/>
        </w:rPr>
        <w:t>p</w:t>
      </w:r>
      <w:r w:rsidR="002879FD" w:rsidRPr="00D835CA">
        <w:rPr>
          <w:rFonts w:asciiTheme="minorHAnsi" w:hAnsiTheme="minorHAnsi" w:cstheme="minorHAnsi"/>
        </w:rPr>
        <w:t xml:space="preserve">erception of multiple charities addressing similar if not the same causes widely perceived as resulting in ‘wasted resources’ and </w:t>
      </w:r>
      <w:r w:rsidR="001B1512" w:rsidRPr="00D835CA">
        <w:rPr>
          <w:rFonts w:asciiTheme="minorHAnsi" w:hAnsiTheme="minorHAnsi" w:cstheme="minorHAnsi"/>
        </w:rPr>
        <w:t>effectively diluting the impact of finite resources</w:t>
      </w:r>
      <w:r w:rsidR="00A76CC8">
        <w:rPr>
          <w:rFonts w:asciiTheme="minorHAnsi" w:hAnsiTheme="minorHAnsi" w:cstheme="minorHAnsi"/>
        </w:rPr>
        <w:t>, and</w:t>
      </w:r>
      <w:r w:rsidR="001B1512" w:rsidRPr="00D835CA">
        <w:rPr>
          <w:rFonts w:asciiTheme="minorHAnsi" w:hAnsiTheme="minorHAnsi" w:cstheme="minorHAnsi"/>
        </w:rPr>
        <w:t xml:space="preserve"> </w:t>
      </w:r>
    </w:p>
    <w:p w:rsidR="00FF2376" w:rsidRPr="00D835CA" w:rsidRDefault="002879FD" w:rsidP="00196C84">
      <w:pPr>
        <w:pStyle w:val="ListParagraph"/>
        <w:numPr>
          <w:ilvl w:val="0"/>
          <w:numId w:val="12"/>
        </w:numPr>
        <w:spacing w:before="120" w:after="120" w:line="240" w:lineRule="auto"/>
        <w:ind w:left="714" w:hanging="357"/>
        <w:contextualSpacing w:val="0"/>
        <w:rPr>
          <w:rFonts w:asciiTheme="minorHAnsi" w:hAnsiTheme="minorHAnsi" w:cstheme="minorHAnsi"/>
        </w:rPr>
      </w:pPr>
      <w:r w:rsidRPr="00D835CA">
        <w:rPr>
          <w:rFonts w:asciiTheme="minorHAnsi" w:hAnsiTheme="minorHAnsi" w:cstheme="minorHAnsi"/>
        </w:rPr>
        <w:t>d</w:t>
      </w:r>
      <w:r w:rsidR="001B1512" w:rsidRPr="00D835CA">
        <w:rPr>
          <w:rFonts w:asciiTheme="minorHAnsi" w:hAnsiTheme="minorHAnsi" w:cstheme="minorHAnsi"/>
        </w:rPr>
        <w:t>onor fatigue</w:t>
      </w:r>
      <w:r w:rsidR="00FE4D20">
        <w:rPr>
          <w:rFonts w:asciiTheme="minorHAnsi" w:hAnsiTheme="minorHAnsi" w:cstheme="minorHAnsi"/>
        </w:rPr>
        <w:t xml:space="preserve"> - </w:t>
      </w:r>
      <w:r w:rsidR="001B1512" w:rsidRPr="00D835CA">
        <w:rPr>
          <w:rFonts w:asciiTheme="minorHAnsi" w:hAnsiTheme="minorHAnsi" w:cstheme="minorHAnsi"/>
        </w:rPr>
        <w:t xml:space="preserve">too many causes </w:t>
      </w:r>
      <w:r w:rsidRPr="00D835CA">
        <w:rPr>
          <w:rFonts w:asciiTheme="minorHAnsi" w:hAnsiTheme="minorHAnsi" w:cstheme="minorHAnsi"/>
        </w:rPr>
        <w:t>may</w:t>
      </w:r>
      <w:r w:rsidR="00FE4D20">
        <w:rPr>
          <w:rFonts w:asciiTheme="minorHAnsi" w:hAnsiTheme="minorHAnsi" w:cstheme="minorHAnsi"/>
        </w:rPr>
        <w:t xml:space="preserve"> lead to </w:t>
      </w:r>
      <w:r w:rsidR="001B1512" w:rsidRPr="00D835CA">
        <w:rPr>
          <w:rFonts w:asciiTheme="minorHAnsi" w:hAnsiTheme="minorHAnsi" w:cstheme="minorHAnsi"/>
        </w:rPr>
        <w:t>donors being overwhelmed and disillusioned.</w:t>
      </w:r>
    </w:p>
    <w:p w:rsidR="00D835CA" w:rsidRPr="00D835CA" w:rsidRDefault="00A76CC8" w:rsidP="000E7943">
      <w:pPr>
        <w:spacing w:before="240" w:after="120" w:line="240" w:lineRule="auto"/>
        <w:rPr>
          <w:rFonts w:asciiTheme="minorHAnsi" w:hAnsiTheme="minorHAnsi" w:cstheme="minorHAnsi"/>
        </w:rPr>
      </w:pPr>
      <w:r>
        <w:rPr>
          <w:rFonts w:asciiTheme="minorHAnsi" w:hAnsiTheme="minorHAnsi" w:cstheme="minorHAnsi"/>
        </w:rPr>
        <w:t xml:space="preserve">The </w:t>
      </w:r>
      <w:r w:rsidR="00D835CA" w:rsidRPr="00B261E7">
        <w:rPr>
          <w:rFonts w:asciiTheme="minorHAnsi" w:hAnsiTheme="minorHAnsi" w:cstheme="minorHAnsi"/>
          <w:i/>
        </w:rPr>
        <w:t xml:space="preserve">Giving Australia Individual Report </w:t>
      </w:r>
      <w:r w:rsidR="00D4595E" w:rsidRPr="00B261E7">
        <w:rPr>
          <w:rFonts w:asciiTheme="minorHAnsi" w:hAnsiTheme="minorHAnsi" w:cstheme="minorHAnsi"/>
          <w:i/>
        </w:rPr>
        <w:t>2</w:t>
      </w:r>
      <w:r w:rsidR="00D835CA" w:rsidRPr="00B261E7">
        <w:rPr>
          <w:rFonts w:asciiTheme="minorHAnsi" w:hAnsiTheme="minorHAnsi" w:cstheme="minorHAnsi"/>
          <w:i/>
        </w:rPr>
        <w:t>016</w:t>
      </w:r>
      <w:r w:rsidR="00D835CA" w:rsidRPr="00D835CA">
        <w:rPr>
          <w:rFonts w:asciiTheme="minorHAnsi" w:hAnsiTheme="minorHAnsi" w:cstheme="minorHAnsi"/>
        </w:rPr>
        <w:t xml:space="preserve"> (page</w:t>
      </w:r>
      <w:r>
        <w:rPr>
          <w:rFonts w:asciiTheme="minorHAnsi" w:hAnsiTheme="minorHAnsi" w:cstheme="minorHAnsi"/>
        </w:rPr>
        <w:t>s</w:t>
      </w:r>
      <w:r w:rsidR="00D835CA" w:rsidRPr="00D835CA">
        <w:rPr>
          <w:rFonts w:asciiTheme="minorHAnsi" w:hAnsiTheme="minorHAnsi" w:cstheme="minorHAnsi"/>
        </w:rPr>
        <w:t xml:space="preserve"> 28-29):</w:t>
      </w:r>
      <w:r w:rsidR="00D835CA">
        <w:rPr>
          <w:rFonts w:asciiTheme="minorHAnsi" w:hAnsiTheme="minorHAnsi" w:cstheme="minorHAnsi"/>
        </w:rPr>
        <w:t xml:space="preserve"> provides </w:t>
      </w:r>
      <w:r w:rsidR="00D835CA" w:rsidRPr="00D835CA">
        <w:rPr>
          <w:rFonts w:asciiTheme="minorHAnsi" w:hAnsiTheme="minorHAnsi" w:cstheme="minorHAnsi"/>
        </w:rPr>
        <w:t>insight</w:t>
      </w:r>
      <w:r w:rsidR="00D835CA">
        <w:rPr>
          <w:rFonts w:asciiTheme="minorHAnsi" w:hAnsiTheme="minorHAnsi" w:cstheme="minorHAnsi"/>
        </w:rPr>
        <w:t>s</w:t>
      </w:r>
      <w:r w:rsidR="00D835CA" w:rsidRPr="00D835CA">
        <w:rPr>
          <w:rFonts w:asciiTheme="minorHAnsi" w:hAnsiTheme="minorHAnsi" w:cstheme="minorHAnsi"/>
        </w:rPr>
        <w:t xml:space="preserve"> into the reasons people </w:t>
      </w:r>
      <w:r w:rsidR="00D835CA" w:rsidRPr="00D835CA">
        <w:rPr>
          <w:rFonts w:asciiTheme="minorHAnsi" w:hAnsiTheme="minorHAnsi" w:cstheme="minorHAnsi"/>
          <w:u w:val="single"/>
        </w:rPr>
        <w:t>do not</w:t>
      </w:r>
      <w:r w:rsidR="00D835CA" w:rsidRPr="00D835CA">
        <w:rPr>
          <w:rFonts w:asciiTheme="minorHAnsi" w:hAnsiTheme="minorHAnsi" w:cstheme="minorHAnsi"/>
        </w:rPr>
        <w:t xml:space="preserve"> donate:</w:t>
      </w:r>
    </w:p>
    <w:p w:rsidR="002E29F2" w:rsidRPr="003268DE" w:rsidRDefault="002879FD" w:rsidP="0013671B">
      <w:pPr>
        <w:spacing w:before="120" w:after="120" w:line="240" w:lineRule="auto"/>
        <w:ind w:left="720"/>
        <w:rPr>
          <w:rStyle w:val="Heading5Char"/>
          <w:rFonts w:asciiTheme="minorHAnsi" w:eastAsiaTheme="minorEastAsia" w:hAnsiTheme="minorHAnsi" w:cstheme="minorHAnsi"/>
          <w:b w:val="0"/>
          <w:i/>
          <w:iCs/>
        </w:rPr>
      </w:pPr>
      <w:r w:rsidRPr="003268DE">
        <w:rPr>
          <w:rFonts w:asciiTheme="minorHAnsi" w:hAnsiTheme="minorHAnsi" w:cstheme="minorHAnsi"/>
        </w:rPr>
        <w:t>Giving Australia research also i</w:t>
      </w:r>
      <w:r w:rsidR="002E29F2" w:rsidRPr="003268DE">
        <w:rPr>
          <w:rFonts w:asciiTheme="minorHAnsi" w:hAnsiTheme="minorHAnsi" w:cstheme="minorHAnsi"/>
        </w:rPr>
        <w:t xml:space="preserve">dentified </w:t>
      </w:r>
      <w:r w:rsidRPr="003268DE">
        <w:rPr>
          <w:rFonts w:asciiTheme="minorHAnsi" w:hAnsiTheme="minorHAnsi" w:cstheme="minorHAnsi"/>
        </w:rPr>
        <w:t xml:space="preserve">a key role </w:t>
      </w:r>
      <w:r w:rsidR="002E29F2" w:rsidRPr="003268DE">
        <w:rPr>
          <w:rFonts w:asciiTheme="minorHAnsi" w:hAnsiTheme="minorHAnsi" w:cstheme="minorHAnsi"/>
        </w:rPr>
        <w:t>for trustees in ensuring sound financial management of trusts</w:t>
      </w:r>
      <w:r w:rsidR="00AC5C93" w:rsidRPr="003268DE">
        <w:rPr>
          <w:rFonts w:asciiTheme="minorHAnsi" w:hAnsiTheme="minorHAnsi" w:cstheme="minorHAnsi"/>
        </w:rPr>
        <w:t>, although t</w:t>
      </w:r>
      <w:r w:rsidR="002E29F2" w:rsidRPr="003268DE">
        <w:rPr>
          <w:rFonts w:asciiTheme="minorHAnsi" w:hAnsiTheme="minorHAnsi" w:cstheme="minorHAnsi"/>
        </w:rPr>
        <w:t>he perceived need to employ professional advisers varied with the scale and complexity of philanthropic activities.</w:t>
      </w:r>
      <w:r w:rsidR="00AC5C93" w:rsidRPr="003268DE">
        <w:rPr>
          <w:rFonts w:asciiTheme="minorHAnsi" w:hAnsiTheme="minorHAnsi" w:cstheme="minorHAnsi"/>
        </w:rPr>
        <w:t xml:space="preserve"> In addition, j</w:t>
      </w:r>
      <w:r w:rsidR="002E29F2" w:rsidRPr="003268DE">
        <w:rPr>
          <w:rFonts w:asciiTheme="minorHAnsi" w:hAnsiTheme="minorHAnsi" w:cstheme="minorHAnsi"/>
        </w:rPr>
        <w:t>ust over half of the respondents to the</w:t>
      </w:r>
      <w:r w:rsidR="00AC5C93" w:rsidRPr="003268DE">
        <w:rPr>
          <w:rFonts w:asciiTheme="minorHAnsi" w:hAnsiTheme="minorHAnsi" w:cstheme="minorHAnsi"/>
        </w:rPr>
        <w:t xml:space="preserve"> Giving Australia </w:t>
      </w:r>
      <w:r w:rsidR="002E29F2" w:rsidRPr="003268DE">
        <w:rPr>
          <w:rFonts w:asciiTheme="minorHAnsi" w:hAnsiTheme="minorHAnsi" w:cstheme="minorHAnsi"/>
          <w:i/>
        </w:rPr>
        <w:t>Philanthropy and philanthropists</w:t>
      </w:r>
      <w:r w:rsidR="002E29F2" w:rsidRPr="003268DE">
        <w:rPr>
          <w:rFonts w:asciiTheme="minorHAnsi" w:hAnsiTheme="minorHAnsi" w:cstheme="minorHAnsi"/>
        </w:rPr>
        <w:t xml:space="preserve"> survey </w:t>
      </w:r>
      <w:r w:rsidR="00AC5C93" w:rsidRPr="003268DE">
        <w:rPr>
          <w:rFonts w:asciiTheme="minorHAnsi" w:hAnsiTheme="minorHAnsi" w:cstheme="minorHAnsi"/>
        </w:rPr>
        <w:t xml:space="preserve">indicated </w:t>
      </w:r>
      <w:r w:rsidR="002E29F2" w:rsidRPr="003268DE">
        <w:rPr>
          <w:rFonts w:asciiTheme="minorHAnsi" w:hAnsiTheme="minorHAnsi" w:cstheme="minorHAnsi"/>
        </w:rPr>
        <w:t xml:space="preserve">their fund applies some form of ethical screening to investment decisions. This may be a negative screen, where investments perceived to create negative social or environmental impacts are screened out (for example, tobacco, weaponry, deforestation); or a positive screen, where investments perceived to create positive impact (such as health care, renewable energy and sustainable development) are screened in. </w:t>
      </w:r>
    </w:p>
    <w:p w:rsidR="00121B42" w:rsidRDefault="00E33613" w:rsidP="0013671B">
      <w:pPr>
        <w:spacing w:line="240" w:lineRule="auto"/>
        <w:rPr>
          <w:rFonts w:asciiTheme="minorHAnsi" w:hAnsiTheme="minorHAnsi" w:cstheme="minorHAnsi"/>
          <w:lang w:val="en-GB"/>
        </w:rPr>
      </w:pPr>
      <w:r w:rsidRPr="00D835CA">
        <w:rPr>
          <w:rFonts w:asciiTheme="minorHAnsi" w:hAnsiTheme="minorHAnsi" w:cstheme="minorHAnsi"/>
          <w:lang w:val="en-GB"/>
        </w:rPr>
        <w:t>The rapid adoption of digital tools for social and political action has brought unarguable innovation and opportunity</w:t>
      </w:r>
      <w:r w:rsidR="00E24B78">
        <w:rPr>
          <w:rFonts w:asciiTheme="minorHAnsi" w:hAnsiTheme="minorHAnsi" w:cstheme="minorHAnsi"/>
          <w:lang w:val="en-GB"/>
        </w:rPr>
        <w:t xml:space="preserve"> across the sector</w:t>
      </w:r>
      <w:r w:rsidRPr="00D835CA">
        <w:rPr>
          <w:rFonts w:asciiTheme="minorHAnsi" w:hAnsiTheme="minorHAnsi" w:cstheme="minorHAnsi"/>
          <w:lang w:val="en-GB"/>
        </w:rPr>
        <w:t xml:space="preserve">.  </w:t>
      </w:r>
      <w:r w:rsidR="00E43B14" w:rsidRPr="00D835CA">
        <w:rPr>
          <w:rFonts w:asciiTheme="minorHAnsi" w:hAnsiTheme="minorHAnsi" w:cstheme="minorHAnsi"/>
          <w:lang w:val="en-GB"/>
        </w:rPr>
        <w:t>However,</w:t>
      </w:r>
      <w:r w:rsidRPr="00D835CA">
        <w:rPr>
          <w:rFonts w:asciiTheme="minorHAnsi" w:hAnsiTheme="minorHAnsi" w:cstheme="minorHAnsi"/>
          <w:lang w:val="en-GB"/>
        </w:rPr>
        <w:t xml:space="preserve"> “digital civil society” also brings with it a complicated new set of risks associated </w:t>
      </w:r>
      <w:r w:rsidR="000E7943">
        <w:rPr>
          <w:rFonts w:asciiTheme="minorHAnsi" w:hAnsiTheme="minorHAnsi" w:cstheme="minorHAnsi"/>
          <w:lang w:val="en-GB"/>
        </w:rPr>
        <w:t>with the ways peopl</w:t>
      </w:r>
      <w:r w:rsidR="00F92B39">
        <w:rPr>
          <w:rFonts w:asciiTheme="minorHAnsi" w:hAnsiTheme="minorHAnsi" w:cstheme="minorHAnsi"/>
          <w:lang w:val="en-GB"/>
        </w:rPr>
        <w:t>e and organis</w:t>
      </w:r>
      <w:r w:rsidRPr="00D835CA">
        <w:rPr>
          <w:rFonts w:asciiTheme="minorHAnsi" w:hAnsiTheme="minorHAnsi" w:cstheme="minorHAnsi"/>
          <w:lang w:val="en-GB"/>
        </w:rPr>
        <w:t xml:space="preserve">ations use private resources for public benefit.  </w:t>
      </w:r>
    </w:p>
    <w:p w:rsidR="00494FDB" w:rsidRDefault="00E33613" w:rsidP="0013671B">
      <w:pPr>
        <w:spacing w:line="240" w:lineRule="auto"/>
        <w:rPr>
          <w:rFonts w:asciiTheme="minorHAnsi" w:hAnsiTheme="minorHAnsi" w:cstheme="minorHAnsi"/>
          <w:lang w:val="en-GB"/>
        </w:rPr>
      </w:pPr>
      <w:r w:rsidRPr="00D835CA">
        <w:rPr>
          <w:rFonts w:asciiTheme="minorHAnsi" w:hAnsiTheme="minorHAnsi" w:cstheme="minorHAnsi"/>
          <w:lang w:val="en-GB"/>
        </w:rPr>
        <w:t xml:space="preserve">The </w:t>
      </w:r>
      <w:r w:rsidR="003B6394">
        <w:rPr>
          <w:rFonts w:asciiTheme="minorHAnsi" w:hAnsiTheme="minorHAnsi" w:cstheme="minorHAnsi"/>
          <w:lang w:val="en-GB"/>
        </w:rPr>
        <w:t xml:space="preserve">Review </w:t>
      </w:r>
      <w:r w:rsidRPr="00D835CA">
        <w:rPr>
          <w:rFonts w:asciiTheme="minorHAnsi" w:hAnsiTheme="minorHAnsi" w:cstheme="minorHAnsi"/>
          <w:lang w:val="en-GB"/>
        </w:rPr>
        <w:t xml:space="preserve">Panel should take into account the critical need for safe, ethical and effective use of private digital resources </w:t>
      </w:r>
      <w:r w:rsidR="00F158F9">
        <w:rPr>
          <w:rFonts w:asciiTheme="minorHAnsi" w:hAnsiTheme="minorHAnsi" w:cstheme="minorHAnsi"/>
          <w:lang w:val="en-GB"/>
        </w:rPr>
        <w:t xml:space="preserve">(e.g. digital </w:t>
      </w:r>
      <w:r w:rsidR="00444BA3">
        <w:rPr>
          <w:rFonts w:asciiTheme="minorHAnsi" w:hAnsiTheme="minorHAnsi" w:cstheme="minorHAnsi"/>
          <w:lang w:val="en-GB"/>
        </w:rPr>
        <w:t xml:space="preserve">donor </w:t>
      </w:r>
      <w:r w:rsidR="00F158F9">
        <w:rPr>
          <w:rFonts w:asciiTheme="minorHAnsi" w:hAnsiTheme="minorHAnsi" w:cstheme="minorHAnsi"/>
          <w:lang w:val="en-GB"/>
        </w:rPr>
        <w:t xml:space="preserve">data) </w:t>
      </w:r>
      <w:r w:rsidRPr="00D835CA">
        <w:rPr>
          <w:rFonts w:asciiTheme="minorHAnsi" w:hAnsiTheme="minorHAnsi" w:cstheme="minorHAnsi"/>
          <w:lang w:val="en-GB"/>
        </w:rPr>
        <w:t>for public benefit</w:t>
      </w:r>
      <w:r w:rsidR="00100AA6">
        <w:rPr>
          <w:rFonts w:asciiTheme="minorHAnsi" w:hAnsiTheme="minorHAnsi" w:cstheme="minorHAnsi"/>
          <w:lang w:val="en-GB"/>
        </w:rPr>
        <w:t>, and to maintain public trust and confidence</w:t>
      </w:r>
      <w:r w:rsidRPr="00D835CA">
        <w:rPr>
          <w:rFonts w:asciiTheme="minorHAnsi" w:hAnsiTheme="minorHAnsi" w:cstheme="minorHAnsi"/>
          <w:lang w:val="en-GB"/>
        </w:rPr>
        <w:t>.</w:t>
      </w:r>
      <w:r w:rsidRPr="003268DE">
        <w:rPr>
          <w:rStyle w:val="FootnoteReference"/>
          <w:rFonts w:asciiTheme="minorHAnsi" w:hAnsiTheme="minorHAnsi" w:cstheme="minorHAnsi"/>
          <w:lang w:val="en-GB"/>
        </w:rPr>
        <w:footnoteReference w:id="13"/>
      </w:r>
      <w:r w:rsidR="00817D74">
        <w:rPr>
          <w:rFonts w:asciiTheme="minorHAnsi" w:hAnsiTheme="minorHAnsi" w:cstheme="minorHAnsi"/>
          <w:lang w:val="en-GB"/>
        </w:rPr>
        <w:t xml:space="preserve">  </w:t>
      </w:r>
      <w:r w:rsidRPr="00D835CA">
        <w:rPr>
          <w:rFonts w:asciiTheme="minorHAnsi" w:hAnsiTheme="minorHAnsi" w:cstheme="minorHAnsi"/>
          <w:lang w:val="en-GB"/>
        </w:rPr>
        <w:t>T</w:t>
      </w:r>
      <w:r w:rsidR="009024B2" w:rsidRPr="00D835CA">
        <w:rPr>
          <w:rFonts w:asciiTheme="minorHAnsi" w:hAnsiTheme="minorHAnsi" w:cstheme="minorHAnsi"/>
          <w:lang w:val="en-GB"/>
        </w:rPr>
        <w:t xml:space="preserve">his may call for </w:t>
      </w:r>
      <w:r w:rsidRPr="00D835CA">
        <w:rPr>
          <w:rFonts w:asciiTheme="minorHAnsi" w:hAnsiTheme="minorHAnsi" w:cstheme="minorHAnsi"/>
          <w:lang w:val="en-GB"/>
        </w:rPr>
        <w:t xml:space="preserve">the creation of new </w:t>
      </w:r>
      <w:r w:rsidR="009024B2" w:rsidRPr="00D835CA">
        <w:rPr>
          <w:rFonts w:asciiTheme="minorHAnsi" w:hAnsiTheme="minorHAnsi" w:cstheme="minorHAnsi"/>
          <w:lang w:val="en-GB"/>
        </w:rPr>
        <w:t>approaches to</w:t>
      </w:r>
      <w:r w:rsidRPr="00D835CA">
        <w:rPr>
          <w:rFonts w:asciiTheme="minorHAnsi" w:hAnsiTheme="minorHAnsi" w:cstheme="minorHAnsi"/>
          <w:lang w:val="en-GB"/>
        </w:rPr>
        <w:t xml:space="preserve"> governing</w:t>
      </w:r>
      <w:r w:rsidR="009024B2" w:rsidRPr="00D835CA">
        <w:rPr>
          <w:rFonts w:asciiTheme="minorHAnsi" w:hAnsiTheme="minorHAnsi" w:cstheme="minorHAnsi"/>
          <w:lang w:val="en-GB"/>
        </w:rPr>
        <w:t xml:space="preserve"> and regulating </w:t>
      </w:r>
      <w:r w:rsidRPr="00D835CA">
        <w:rPr>
          <w:rFonts w:asciiTheme="minorHAnsi" w:hAnsiTheme="minorHAnsi" w:cstheme="minorHAnsi"/>
          <w:lang w:val="en-GB"/>
        </w:rPr>
        <w:t xml:space="preserve">digital assets </w:t>
      </w:r>
      <w:r w:rsidR="009024B2" w:rsidRPr="00D835CA">
        <w:rPr>
          <w:rFonts w:asciiTheme="minorHAnsi" w:hAnsiTheme="minorHAnsi" w:cstheme="minorHAnsi"/>
          <w:lang w:val="en-GB"/>
        </w:rPr>
        <w:t xml:space="preserve">and support and tools for </w:t>
      </w:r>
      <w:r w:rsidR="00DB1A55">
        <w:rPr>
          <w:rFonts w:asciiTheme="minorHAnsi" w:hAnsiTheme="minorHAnsi" w:cstheme="minorHAnsi"/>
          <w:lang w:val="en-GB"/>
        </w:rPr>
        <w:t xml:space="preserve">the </w:t>
      </w:r>
      <w:r w:rsidR="009024B2" w:rsidRPr="00D835CA">
        <w:rPr>
          <w:rFonts w:asciiTheme="minorHAnsi" w:hAnsiTheme="minorHAnsi" w:cstheme="minorHAnsi"/>
          <w:lang w:val="en-GB"/>
        </w:rPr>
        <w:t>charitable sector</w:t>
      </w:r>
      <w:r w:rsidRPr="00D835CA">
        <w:rPr>
          <w:rFonts w:asciiTheme="minorHAnsi" w:hAnsiTheme="minorHAnsi" w:cstheme="minorHAnsi"/>
          <w:lang w:val="en-GB"/>
        </w:rPr>
        <w:t xml:space="preserve">. </w:t>
      </w:r>
      <w:r w:rsidR="00D835CA" w:rsidRPr="00D835CA">
        <w:rPr>
          <w:rFonts w:asciiTheme="minorHAnsi" w:hAnsiTheme="minorHAnsi" w:cstheme="minorHAnsi"/>
          <w:lang w:val="en-GB"/>
        </w:rPr>
        <w:t xml:space="preserve"> </w:t>
      </w:r>
    </w:p>
    <w:p w:rsidR="00D835CA" w:rsidRDefault="00D835CA" w:rsidP="0013671B">
      <w:pPr>
        <w:spacing w:line="240" w:lineRule="auto"/>
        <w:rPr>
          <w:rFonts w:asciiTheme="minorHAnsi" w:hAnsiTheme="minorHAnsi" w:cstheme="minorHAnsi"/>
        </w:rPr>
      </w:pPr>
      <w:r w:rsidRPr="003B6394">
        <w:rPr>
          <w:rFonts w:asciiTheme="minorHAnsi" w:hAnsiTheme="minorHAnsi" w:cstheme="minorHAnsi"/>
          <w:i/>
        </w:rPr>
        <w:t>Giving Australia</w:t>
      </w:r>
      <w:r>
        <w:rPr>
          <w:rFonts w:asciiTheme="minorHAnsi" w:hAnsiTheme="minorHAnsi" w:cstheme="minorHAnsi"/>
        </w:rPr>
        <w:t xml:space="preserve"> </w:t>
      </w:r>
      <w:r w:rsidRPr="00D835CA">
        <w:rPr>
          <w:rFonts w:asciiTheme="minorHAnsi" w:hAnsiTheme="minorHAnsi" w:cstheme="minorHAnsi"/>
        </w:rPr>
        <w:t>participants expressed concern about their information being made available, which has the effect of opening the door to ongoing calls.</w:t>
      </w:r>
      <w:r>
        <w:rPr>
          <w:rFonts w:asciiTheme="minorHAnsi" w:hAnsiTheme="minorHAnsi" w:cstheme="minorHAnsi"/>
        </w:rPr>
        <w:t xml:space="preserve"> “</w:t>
      </w:r>
      <w:r w:rsidRPr="00D835CA">
        <w:rPr>
          <w:rFonts w:asciiTheme="minorHAnsi" w:hAnsiTheme="minorHAnsi" w:cstheme="minorHAnsi"/>
        </w:rPr>
        <w:t>They still keep ringing me … the</w:t>
      </w:r>
      <w:r w:rsidR="00494FDB">
        <w:rPr>
          <w:rFonts w:asciiTheme="minorHAnsi" w:hAnsiTheme="minorHAnsi" w:cstheme="minorHAnsi"/>
        </w:rPr>
        <w:t xml:space="preserve">y </w:t>
      </w:r>
      <w:r w:rsidRPr="00D835CA">
        <w:rPr>
          <w:rFonts w:asciiTheme="minorHAnsi" w:hAnsiTheme="minorHAnsi" w:cstheme="minorHAnsi"/>
        </w:rPr>
        <w:t>share lists you see. So, if you’re on someone’s list then you’re on about 20 lists.</w:t>
      </w:r>
      <w:r>
        <w:rPr>
          <w:rFonts w:asciiTheme="minorHAnsi" w:hAnsiTheme="minorHAnsi" w:cstheme="minorHAnsi"/>
        </w:rPr>
        <w:t>”</w:t>
      </w:r>
      <w:r w:rsidR="00494FDB">
        <w:rPr>
          <w:rFonts w:asciiTheme="minorHAnsi" w:hAnsiTheme="minorHAnsi" w:cstheme="minorHAnsi"/>
        </w:rPr>
        <w:t xml:space="preserve"> (</w:t>
      </w:r>
      <w:r w:rsidRPr="00D835CA">
        <w:rPr>
          <w:rFonts w:asciiTheme="minorHAnsi" w:hAnsiTheme="minorHAnsi" w:cstheme="minorHAnsi"/>
        </w:rPr>
        <w:t>Interview, Everyday giver, QLD</w:t>
      </w:r>
      <w:r w:rsidR="00494FDB">
        <w:rPr>
          <w:rFonts w:asciiTheme="minorHAnsi" w:hAnsiTheme="minorHAnsi" w:cstheme="minorHAnsi"/>
        </w:rPr>
        <w:t>)</w:t>
      </w:r>
    </w:p>
    <w:p w:rsidR="00B261E7" w:rsidRDefault="00B261E7" w:rsidP="0013671B">
      <w:pPr>
        <w:spacing w:line="240" w:lineRule="auto"/>
        <w:rPr>
          <w:rFonts w:asciiTheme="minorHAnsi" w:hAnsiTheme="minorHAnsi" w:cstheme="minorHAnsi"/>
          <w:lang w:val="en-GB"/>
        </w:rPr>
      </w:pPr>
      <w:r w:rsidRPr="00F92B39">
        <w:rPr>
          <w:rFonts w:asciiTheme="minorHAnsi" w:hAnsiTheme="minorHAnsi" w:cstheme="minorHAnsi"/>
          <w:lang w:val="en-GB"/>
        </w:rPr>
        <w:t>Evidence from the Partnership’s own consultations</w:t>
      </w:r>
      <w:r w:rsidR="00272E64">
        <w:rPr>
          <w:rStyle w:val="FootnoteReference"/>
          <w:rFonts w:asciiTheme="minorHAnsi" w:hAnsiTheme="minorHAnsi" w:cstheme="minorHAnsi"/>
          <w:lang w:val="en-GB"/>
        </w:rPr>
        <w:footnoteReference w:id="14"/>
      </w:r>
      <w:r w:rsidR="00272E64">
        <w:rPr>
          <w:rFonts w:asciiTheme="minorHAnsi" w:hAnsiTheme="minorHAnsi" w:cstheme="minorHAnsi"/>
          <w:lang w:val="en-GB"/>
        </w:rPr>
        <w:t xml:space="preserve"> </w:t>
      </w:r>
      <w:r w:rsidRPr="00F92B39">
        <w:rPr>
          <w:rFonts w:asciiTheme="minorHAnsi" w:hAnsiTheme="minorHAnsi" w:cstheme="minorHAnsi"/>
          <w:lang w:val="en-GB"/>
        </w:rPr>
        <w:t>about the need for investment in digital giving platforms and the adoption of new digital and online technologies is that while these are recognised as critical for innovation, the costs are seen as an administrative “overhead”, lacking support internally (from the Board) and externally (from donors, as an acceptable use of donated funds).</w:t>
      </w:r>
      <w:r w:rsidR="002225DF">
        <w:rPr>
          <w:rFonts w:asciiTheme="minorHAnsi" w:hAnsiTheme="minorHAnsi" w:cstheme="minorHAnsi"/>
          <w:lang w:val="en-GB"/>
        </w:rPr>
        <w:t xml:space="preserve"> </w:t>
      </w:r>
    </w:p>
    <w:p w:rsidR="00F92B39" w:rsidRDefault="00F92B39" w:rsidP="00F92B39">
      <w:pPr>
        <w:spacing w:after="0" w:line="240" w:lineRule="auto"/>
        <w:rPr>
          <w:rFonts w:asciiTheme="minorHAnsi" w:hAnsiTheme="minorHAnsi" w:cstheme="minorHAnsi"/>
          <w:lang w:val="en-GB"/>
        </w:rPr>
      </w:pPr>
    </w:p>
    <w:tbl>
      <w:tblPr>
        <w:tblStyle w:val="TableGrid"/>
        <w:tblW w:w="0" w:type="auto"/>
        <w:shd w:val="clear" w:color="auto" w:fill="C6D9F1" w:themeFill="text2" w:themeFillTint="33"/>
        <w:tblLook w:val="04A0" w:firstRow="1" w:lastRow="0" w:firstColumn="1" w:lastColumn="0" w:noHBand="0" w:noVBand="1"/>
        <w:tblDescription w:val="ACNC two additional Objects (Recommendation 2 of the ACNC Submission), "/>
      </w:tblPr>
      <w:tblGrid>
        <w:gridCol w:w="9117"/>
      </w:tblGrid>
      <w:tr w:rsidR="00943282" w:rsidTr="00B72FB0">
        <w:trPr>
          <w:tblHeader/>
        </w:trPr>
        <w:tc>
          <w:tcPr>
            <w:tcW w:w="9117" w:type="dxa"/>
            <w:shd w:val="clear" w:color="auto" w:fill="C6D9F1" w:themeFill="text2" w:themeFillTint="33"/>
          </w:tcPr>
          <w:p w:rsidR="00943282" w:rsidRPr="00D859B7" w:rsidRDefault="00943282" w:rsidP="00652926">
            <w:pPr>
              <w:pStyle w:val="OutlineNumbered1"/>
              <w:numPr>
                <w:ilvl w:val="0"/>
                <w:numId w:val="0"/>
              </w:numPr>
              <w:spacing w:before="120"/>
              <w:rPr>
                <w:rFonts w:asciiTheme="minorHAnsi" w:hAnsiTheme="minorHAnsi"/>
                <w:b/>
                <w:color w:val="000000" w:themeColor="text1"/>
                <w:szCs w:val="22"/>
              </w:rPr>
            </w:pPr>
            <w:r w:rsidRPr="00D859B7">
              <w:rPr>
                <w:rFonts w:asciiTheme="minorHAnsi" w:hAnsiTheme="minorHAnsi"/>
                <w:b/>
                <w:color w:val="000000" w:themeColor="text1"/>
                <w:szCs w:val="22"/>
              </w:rPr>
              <w:t>ACNC two additional Objects (Recommendation 2 of the ACNC Submission)</w:t>
            </w:r>
            <w:r w:rsidR="00D859B7" w:rsidRPr="00D859B7">
              <w:rPr>
                <w:rFonts w:asciiTheme="minorHAnsi" w:hAnsiTheme="minorHAnsi"/>
                <w:b/>
                <w:color w:val="000000" w:themeColor="text1"/>
                <w:szCs w:val="22"/>
              </w:rPr>
              <w:t>, to</w:t>
            </w:r>
            <w:r w:rsidRPr="00D859B7">
              <w:rPr>
                <w:rFonts w:asciiTheme="minorHAnsi" w:hAnsiTheme="minorHAnsi"/>
                <w:b/>
                <w:color w:val="000000" w:themeColor="text1"/>
                <w:szCs w:val="22"/>
              </w:rPr>
              <w:t>:</w:t>
            </w:r>
          </w:p>
          <w:p w:rsidR="00D859B7" w:rsidRPr="00D859B7" w:rsidRDefault="00D859B7" w:rsidP="00FC58FA">
            <w:pPr>
              <w:pStyle w:val="OutlineNumbered1"/>
              <w:numPr>
                <w:ilvl w:val="0"/>
                <w:numId w:val="21"/>
              </w:numPr>
              <w:spacing w:before="120"/>
              <w:ind w:left="357" w:hanging="357"/>
              <w:rPr>
                <w:rFonts w:asciiTheme="minorHAnsi" w:hAnsiTheme="minorHAnsi"/>
                <w:b/>
                <w:color w:val="000000" w:themeColor="text1"/>
                <w:szCs w:val="22"/>
              </w:rPr>
            </w:pPr>
            <w:r w:rsidRPr="00D859B7">
              <w:rPr>
                <w:rFonts w:asciiTheme="minorHAnsi" w:hAnsiTheme="minorHAnsi"/>
                <w:b/>
                <w:color w:val="000000" w:themeColor="text1"/>
                <w:szCs w:val="22"/>
              </w:rPr>
              <w:t>E</w:t>
            </w:r>
            <w:r w:rsidR="00943282" w:rsidRPr="00D859B7">
              <w:rPr>
                <w:rFonts w:asciiTheme="minorHAnsi" w:hAnsiTheme="minorHAnsi"/>
                <w:b/>
                <w:color w:val="000000" w:themeColor="text1"/>
                <w:szCs w:val="22"/>
              </w:rPr>
              <w:t>nhance the accountability of the NFP entities to donors, beneficiaries and the public</w:t>
            </w:r>
            <w:r w:rsidRPr="00D859B7">
              <w:rPr>
                <w:rFonts w:asciiTheme="minorHAnsi" w:hAnsiTheme="minorHAnsi"/>
                <w:b/>
                <w:color w:val="000000" w:themeColor="text1"/>
                <w:szCs w:val="22"/>
              </w:rPr>
              <w:t>, and</w:t>
            </w:r>
          </w:p>
          <w:p w:rsidR="00943282" w:rsidRDefault="00D859B7" w:rsidP="00FC58FA">
            <w:pPr>
              <w:pStyle w:val="OutlineNumbered1"/>
              <w:numPr>
                <w:ilvl w:val="0"/>
                <w:numId w:val="22"/>
              </w:numPr>
              <w:spacing w:before="120"/>
              <w:ind w:left="357" w:hanging="357"/>
              <w:rPr>
                <w:rFonts w:asciiTheme="minorHAnsi" w:hAnsiTheme="minorHAnsi"/>
                <w:b/>
                <w:color w:val="000000" w:themeColor="text1"/>
                <w:szCs w:val="22"/>
              </w:rPr>
            </w:pPr>
            <w:r w:rsidRPr="00D859B7">
              <w:rPr>
                <w:rFonts w:asciiTheme="minorHAnsi" w:hAnsiTheme="minorHAnsi"/>
                <w:b/>
                <w:color w:val="000000" w:themeColor="text1"/>
                <w:szCs w:val="22"/>
              </w:rPr>
              <w:t>P</w:t>
            </w:r>
            <w:r w:rsidRPr="00D859B7">
              <w:rPr>
                <w:rFonts w:asciiTheme="minorHAnsi" w:hAnsiTheme="minorHAnsi" w:cstheme="minorHAnsi"/>
                <w:b/>
              </w:rPr>
              <w:t>romote the effective use of the resources of not-for-profit entities</w:t>
            </w:r>
            <w:r>
              <w:rPr>
                <w:rFonts w:asciiTheme="minorHAnsi" w:hAnsiTheme="minorHAnsi" w:cstheme="minorHAnsi"/>
              </w:rPr>
              <w:t xml:space="preserve">.  </w:t>
            </w:r>
          </w:p>
        </w:tc>
      </w:tr>
    </w:tbl>
    <w:p w:rsidR="00D859B7" w:rsidRPr="00D859B7" w:rsidRDefault="00B84BA9" w:rsidP="00E74E0C">
      <w:pPr>
        <w:spacing w:before="240" w:after="120" w:line="240" w:lineRule="auto"/>
        <w:rPr>
          <w:rFonts w:asciiTheme="minorHAnsi" w:hAnsiTheme="minorHAnsi"/>
          <w:b/>
          <w:i/>
          <w:color w:val="000000" w:themeColor="text1"/>
        </w:rPr>
      </w:pPr>
      <w:r>
        <w:rPr>
          <w:rFonts w:asciiTheme="minorHAnsi" w:hAnsiTheme="minorHAnsi"/>
          <w:b/>
          <w:i/>
          <w:color w:val="000000" w:themeColor="text1"/>
        </w:rPr>
        <w:t xml:space="preserve">2.4 </w:t>
      </w:r>
      <w:r w:rsidR="00D859B7" w:rsidRPr="00D859B7">
        <w:rPr>
          <w:rFonts w:asciiTheme="minorHAnsi" w:hAnsiTheme="minorHAnsi"/>
          <w:b/>
          <w:i/>
          <w:color w:val="000000" w:themeColor="text1"/>
        </w:rPr>
        <w:t>Enhanced accountability</w:t>
      </w:r>
      <w:r>
        <w:rPr>
          <w:rFonts w:asciiTheme="minorHAnsi" w:hAnsiTheme="minorHAnsi"/>
          <w:b/>
          <w:i/>
          <w:color w:val="000000" w:themeColor="text1"/>
        </w:rPr>
        <w:t xml:space="preserve"> of NFP entities</w:t>
      </w:r>
    </w:p>
    <w:p w:rsidR="00C866DB" w:rsidRDefault="00943282" w:rsidP="00E74E0C">
      <w:pPr>
        <w:spacing w:before="240" w:after="120" w:line="240" w:lineRule="auto"/>
        <w:rPr>
          <w:rFonts w:asciiTheme="minorHAnsi" w:hAnsiTheme="minorHAnsi"/>
          <w:color w:val="000000" w:themeColor="text1"/>
        </w:rPr>
      </w:pPr>
      <w:r w:rsidRPr="00943282">
        <w:rPr>
          <w:rFonts w:asciiTheme="minorHAnsi" w:hAnsiTheme="minorHAnsi"/>
          <w:color w:val="000000" w:themeColor="text1"/>
        </w:rPr>
        <w:t xml:space="preserve">The Partnership </w:t>
      </w:r>
      <w:r w:rsidR="00407101">
        <w:rPr>
          <w:rFonts w:asciiTheme="minorHAnsi" w:hAnsiTheme="minorHAnsi"/>
          <w:color w:val="000000" w:themeColor="text1"/>
        </w:rPr>
        <w:t xml:space="preserve">does </w:t>
      </w:r>
      <w:r w:rsidRPr="00943282">
        <w:rPr>
          <w:rFonts w:asciiTheme="minorHAnsi" w:hAnsiTheme="minorHAnsi"/>
          <w:color w:val="000000" w:themeColor="text1"/>
        </w:rPr>
        <w:t xml:space="preserve">not </w:t>
      </w:r>
      <w:r w:rsidR="00407101">
        <w:rPr>
          <w:rFonts w:asciiTheme="minorHAnsi" w:hAnsiTheme="minorHAnsi"/>
          <w:color w:val="000000" w:themeColor="text1"/>
        </w:rPr>
        <w:t xml:space="preserve">support the </w:t>
      </w:r>
      <w:r w:rsidRPr="00943282">
        <w:rPr>
          <w:rFonts w:asciiTheme="minorHAnsi" w:hAnsiTheme="minorHAnsi"/>
          <w:color w:val="000000" w:themeColor="text1"/>
        </w:rPr>
        <w:t>proposed additional object</w:t>
      </w:r>
      <w:r w:rsidR="00C866DB">
        <w:rPr>
          <w:rFonts w:asciiTheme="minorHAnsi" w:hAnsiTheme="minorHAnsi"/>
          <w:color w:val="000000" w:themeColor="text1"/>
        </w:rPr>
        <w:t xml:space="preserve"> to enhance the accountability of charities to donors, beneficiaries and the public</w:t>
      </w:r>
      <w:r w:rsidRPr="00943282">
        <w:rPr>
          <w:rFonts w:asciiTheme="minorHAnsi" w:hAnsiTheme="minorHAnsi"/>
          <w:color w:val="000000" w:themeColor="text1"/>
        </w:rPr>
        <w:t xml:space="preserve">.  </w:t>
      </w:r>
    </w:p>
    <w:p w:rsidR="00D859B7" w:rsidRDefault="00943282" w:rsidP="00E74E0C">
      <w:pPr>
        <w:spacing w:before="240" w:after="120" w:line="240" w:lineRule="auto"/>
        <w:rPr>
          <w:rFonts w:asciiTheme="minorHAnsi" w:hAnsiTheme="minorHAnsi"/>
          <w:color w:val="000000" w:themeColor="text1"/>
        </w:rPr>
      </w:pPr>
      <w:r w:rsidRPr="00943282">
        <w:rPr>
          <w:rFonts w:asciiTheme="minorHAnsi" w:hAnsiTheme="minorHAnsi"/>
          <w:color w:val="000000" w:themeColor="text1"/>
        </w:rPr>
        <w:t>This goal is already explicit in the princip</w:t>
      </w:r>
      <w:r w:rsidR="00F92B39">
        <w:rPr>
          <w:rFonts w:asciiTheme="minorHAnsi" w:hAnsiTheme="minorHAnsi"/>
          <w:color w:val="000000" w:themeColor="text1"/>
        </w:rPr>
        <w:t>al</w:t>
      </w:r>
      <w:r w:rsidRPr="00943282">
        <w:rPr>
          <w:rFonts w:asciiTheme="minorHAnsi" w:hAnsiTheme="minorHAnsi"/>
          <w:color w:val="000000" w:themeColor="text1"/>
        </w:rPr>
        <w:t xml:space="preserve"> Act (15-10, 45-5 and 50-5) and is implicit in Object 1 as part of the goal of enhancing public trust and confidence in the sector</w:t>
      </w:r>
      <w:r w:rsidR="00C866DB">
        <w:rPr>
          <w:rFonts w:asciiTheme="minorHAnsi" w:hAnsiTheme="minorHAnsi"/>
          <w:color w:val="000000" w:themeColor="text1"/>
        </w:rPr>
        <w:t xml:space="preserve">.  It would also appear to be well served through the ACNC’s existing core functions, specifically monitoring and managing compliance and providing education and advice. </w:t>
      </w:r>
      <w:r w:rsidRPr="00943282">
        <w:rPr>
          <w:rFonts w:asciiTheme="minorHAnsi" w:hAnsiTheme="minorHAnsi"/>
          <w:color w:val="000000" w:themeColor="text1"/>
        </w:rPr>
        <w:t xml:space="preserve"> </w:t>
      </w:r>
    </w:p>
    <w:p w:rsidR="00943282" w:rsidRDefault="00943282" w:rsidP="00E74E0C">
      <w:pPr>
        <w:spacing w:before="240" w:after="120" w:line="240" w:lineRule="auto"/>
        <w:rPr>
          <w:rFonts w:asciiTheme="minorHAnsi" w:hAnsiTheme="minorHAnsi"/>
          <w:color w:val="000000" w:themeColor="text1"/>
        </w:rPr>
      </w:pPr>
      <w:r w:rsidRPr="00943282">
        <w:rPr>
          <w:rFonts w:asciiTheme="minorHAnsi" w:hAnsiTheme="minorHAnsi"/>
          <w:color w:val="000000" w:themeColor="text1"/>
        </w:rPr>
        <w:t xml:space="preserve">The Partnership </w:t>
      </w:r>
      <w:r w:rsidR="00D859B7">
        <w:rPr>
          <w:rFonts w:asciiTheme="minorHAnsi" w:hAnsiTheme="minorHAnsi"/>
          <w:color w:val="000000" w:themeColor="text1"/>
        </w:rPr>
        <w:t xml:space="preserve">considers </w:t>
      </w:r>
      <w:r w:rsidRPr="00943282">
        <w:rPr>
          <w:rFonts w:asciiTheme="minorHAnsi" w:hAnsiTheme="minorHAnsi"/>
          <w:color w:val="000000" w:themeColor="text1"/>
        </w:rPr>
        <w:t xml:space="preserve">this goal can be </w:t>
      </w:r>
      <w:r w:rsidR="00D859B7">
        <w:rPr>
          <w:rFonts w:asciiTheme="minorHAnsi" w:hAnsiTheme="minorHAnsi"/>
          <w:color w:val="000000" w:themeColor="text1"/>
        </w:rPr>
        <w:t xml:space="preserve">best </w:t>
      </w:r>
      <w:r w:rsidRPr="00943282">
        <w:rPr>
          <w:rFonts w:asciiTheme="minorHAnsi" w:hAnsiTheme="minorHAnsi"/>
          <w:color w:val="000000" w:themeColor="text1"/>
        </w:rPr>
        <w:t xml:space="preserve">achieved through appropriate </w:t>
      </w:r>
      <w:r w:rsidR="00C866DB">
        <w:rPr>
          <w:rFonts w:asciiTheme="minorHAnsi" w:hAnsiTheme="minorHAnsi"/>
          <w:color w:val="000000" w:themeColor="text1"/>
        </w:rPr>
        <w:t>e</w:t>
      </w:r>
      <w:r w:rsidRPr="00943282">
        <w:rPr>
          <w:rFonts w:asciiTheme="minorHAnsi" w:hAnsiTheme="minorHAnsi"/>
          <w:color w:val="000000" w:themeColor="text1"/>
        </w:rPr>
        <w:t xml:space="preserve">ducation and guidance </w:t>
      </w:r>
      <w:r w:rsidR="00D859B7">
        <w:rPr>
          <w:rFonts w:asciiTheme="minorHAnsi" w:hAnsiTheme="minorHAnsi"/>
          <w:color w:val="000000" w:themeColor="text1"/>
        </w:rPr>
        <w:t xml:space="preserve">by the ACNC </w:t>
      </w:r>
      <w:r w:rsidRPr="00943282">
        <w:rPr>
          <w:rFonts w:asciiTheme="minorHAnsi" w:hAnsiTheme="minorHAnsi"/>
          <w:color w:val="000000" w:themeColor="text1"/>
        </w:rPr>
        <w:t>rather than through adding a new object in the princip</w:t>
      </w:r>
      <w:r w:rsidR="00F92B39">
        <w:rPr>
          <w:rFonts w:asciiTheme="minorHAnsi" w:hAnsiTheme="minorHAnsi"/>
          <w:color w:val="000000" w:themeColor="text1"/>
        </w:rPr>
        <w:t>al</w:t>
      </w:r>
      <w:r w:rsidRPr="00943282">
        <w:rPr>
          <w:rFonts w:asciiTheme="minorHAnsi" w:hAnsiTheme="minorHAnsi"/>
          <w:color w:val="000000" w:themeColor="text1"/>
        </w:rPr>
        <w:t xml:space="preserve"> Act</w:t>
      </w:r>
      <w:r>
        <w:rPr>
          <w:rFonts w:asciiTheme="minorHAnsi" w:hAnsiTheme="minorHAnsi"/>
          <w:color w:val="000000" w:themeColor="text1"/>
        </w:rPr>
        <w:t>.</w:t>
      </w:r>
    </w:p>
    <w:p w:rsidR="00C866DB" w:rsidRPr="0020493A" w:rsidRDefault="00B84BA9" w:rsidP="00C866DB">
      <w:pPr>
        <w:spacing w:before="240" w:after="120" w:line="240" w:lineRule="auto"/>
        <w:rPr>
          <w:rFonts w:asciiTheme="minorHAnsi" w:hAnsiTheme="minorHAnsi" w:cstheme="minorHAnsi"/>
          <w:b/>
          <w:i/>
        </w:rPr>
      </w:pPr>
      <w:r>
        <w:rPr>
          <w:rFonts w:asciiTheme="minorHAnsi" w:hAnsiTheme="minorHAnsi" w:cstheme="minorHAnsi"/>
          <w:b/>
          <w:i/>
        </w:rPr>
        <w:t xml:space="preserve">2.5 </w:t>
      </w:r>
      <w:r w:rsidR="00C866DB">
        <w:rPr>
          <w:rFonts w:asciiTheme="minorHAnsi" w:hAnsiTheme="minorHAnsi" w:cstheme="minorHAnsi"/>
          <w:b/>
          <w:i/>
        </w:rPr>
        <w:t>Effective use of r</w:t>
      </w:r>
      <w:r w:rsidR="00C866DB" w:rsidRPr="0020493A">
        <w:rPr>
          <w:rFonts w:asciiTheme="minorHAnsi" w:hAnsiTheme="minorHAnsi" w:cstheme="minorHAnsi"/>
          <w:b/>
          <w:i/>
        </w:rPr>
        <w:t>esource</w:t>
      </w:r>
      <w:r w:rsidR="00C866DB">
        <w:rPr>
          <w:rFonts w:asciiTheme="minorHAnsi" w:hAnsiTheme="minorHAnsi" w:cstheme="minorHAnsi"/>
          <w:b/>
          <w:i/>
        </w:rPr>
        <w:t>s</w:t>
      </w:r>
      <w:r>
        <w:rPr>
          <w:rFonts w:asciiTheme="minorHAnsi" w:hAnsiTheme="minorHAnsi" w:cstheme="minorHAnsi"/>
          <w:b/>
          <w:i/>
        </w:rPr>
        <w:t xml:space="preserve"> of NFP entities</w:t>
      </w:r>
    </w:p>
    <w:p w:rsidR="00C866DB" w:rsidRDefault="00C866DB" w:rsidP="00C866DB">
      <w:pPr>
        <w:spacing w:before="120" w:after="120" w:line="240" w:lineRule="auto"/>
        <w:rPr>
          <w:rFonts w:asciiTheme="minorHAnsi" w:hAnsiTheme="minorHAnsi" w:cstheme="minorHAnsi"/>
        </w:rPr>
      </w:pPr>
      <w:r>
        <w:rPr>
          <w:rFonts w:asciiTheme="minorHAnsi" w:hAnsiTheme="minorHAnsi" w:cstheme="minorHAnsi"/>
        </w:rPr>
        <w:t xml:space="preserve">The </w:t>
      </w:r>
      <w:r w:rsidRPr="00F31004">
        <w:rPr>
          <w:rFonts w:asciiTheme="minorHAnsi" w:hAnsiTheme="minorHAnsi" w:cstheme="minorHAnsi"/>
        </w:rPr>
        <w:t>Partnership is not convinced of the need for the ACNC’s proposed additional object</w:t>
      </w:r>
      <w:r>
        <w:rPr>
          <w:rFonts w:asciiTheme="minorHAnsi" w:hAnsiTheme="minorHAnsi" w:cstheme="minorHAnsi"/>
        </w:rPr>
        <w:t xml:space="preserve"> </w:t>
      </w:r>
      <w:r w:rsidRPr="00F3026E">
        <w:rPr>
          <w:rFonts w:asciiTheme="minorHAnsi" w:hAnsiTheme="minorHAnsi" w:cstheme="minorHAnsi"/>
        </w:rPr>
        <w:t xml:space="preserve">to </w:t>
      </w:r>
      <w:r>
        <w:rPr>
          <w:rFonts w:asciiTheme="minorHAnsi" w:hAnsiTheme="minorHAnsi" w:cstheme="minorHAnsi"/>
        </w:rPr>
        <w:t xml:space="preserve">promote the effective use of the resources of not-for-profit entities.  </w:t>
      </w:r>
    </w:p>
    <w:p w:rsidR="00C866DB" w:rsidRDefault="00C866DB" w:rsidP="00C866DB">
      <w:pPr>
        <w:spacing w:before="120" w:after="120" w:line="240" w:lineRule="auto"/>
        <w:rPr>
          <w:rFonts w:asciiTheme="minorHAnsi" w:hAnsiTheme="minorHAnsi" w:cstheme="minorHAnsi"/>
        </w:rPr>
      </w:pPr>
      <w:r>
        <w:rPr>
          <w:rFonts w:asciiTheme="minorHAnsi" w:hAnsiTheme="minorHAnsi" w:cstheme="minorHAnsi"/>
        </w:rPr>
        <w:t xml:space="preserve">This goal appears to fall outside of the scope of the ACNC’s primary regulatory role and </w:t>
      </w:r>
      <w:r w:rsidR="00910E1F">
        <w:rPr>
          <w:rFonts w:asciiTheme="minorHAnsi" w:hAnsiTheme="minorHAnsi" w:cstheme="minorHAnsi"/>
        </w:rPr>
        <w:t>could be s</w:t>
      </w:r>
      <w:r>
        <w:rPr>
          <w:rFonts w:asciiTheme="minorHAnsi" w:hAnsiTheme="minorHAnsi" w:cstheme="minorHAnsi"/>
        </w:rPr>
        <w:t xml:space="preserve">een as </w:t>
      </w:r>
      <w:r w:rsidR="00910E1F">
        <w:rPr>
          <w:rFonts w:asciiTheme="minorHAnsi" w:hAnsiTheme="minorHAnsi" w:cstheme="minorHAnsi"/>
        </w:rPr>
        <w:t xml:space="preserve">regulatory </w:t>
      </w:r>
      <w:r>
        <w:rPr>
          <w:rFonts w:asciiTheme="minorHAnsi" w:hAnsiTheme="minorHAnsi" w:cstheme="minorHAnsi"/>
        </w:rPr>
        <w:t>overreach.  We note the ACNC Commissioner’s recent public comments</w:t>
      </w:r>
      <w:r>
        <w:rPr>
          <w:rStyle w:val="FootnoteReference"/>
          <w:rFonts w:asciiTheme="minorHAnsi" w:hAnsiTheme="minorHAnsi" w:cstheme="minorHAnsi"/>
        </w:rPr>
        <w:footnoteReference w:id="15"/>
      </w:r>
      <w:r>
        <w:rPr>
          <w:rFonts w:asciiTheme="minorHAnsi" w:hAnsiTheme="minorHAnsi" w:cstheme="minorHAnsi"/>
        </w:rPr>
        <w:t xml:space="preserve"> that:</w:t>
      </w:r>
    </w:p>
    <w:p w:rsidR="00C866DB" w:rsidRDefault="00C866DB" w:rsidP="00196C84">
      <w:pPr>
        <w:pStyle w:val="ListParagraph"/>
        <w:numPr>
          <w:ilvl w:val="1"/>
          <w:numId w:val="18"/>
        </w:numPr>
        <w:spacing w:before="120" w:after="120" w:line="240" w:lineRule="auto"/>
        <w:ind w:left="714" w:hanging="357"/>
        <w:contextualSpacing w:val="0"/>
        <w:rPr>
          <w:rFonts w:asciiTheme="minorHAnsi" w:hAnsiTheme="minorHAnsi" w:cstheme="minorHAnsi"/>
        </w:rPr>
      </w:pPr>
      <w:r w:rsidRPr="00587FAE">
        <w:rPr>
          <w:rFonts w:asciiTheme="minorHAnsi" w:hAnsiTheme="minorHAnsi" w:cstheme="minorHAnsi"/>
        </w:rPr>
        <w:t>“These recommended objects are not designed to create restrictions or impose limitations on charities. They are not additional enforcement powers, but rather a mandate for the ACNC to support and promote effective an</w:t>
      </w:r>
      <w:r w:rsidR="00490CFD">
        <w:rPr>
          <w:rFonts w:asciiTheme="minorHAnsi" w:hAnsiTheme="minorHAnsi" w:cstheme="minorHAnsi"/>
        </w:rPr>
        <w:t xml:space="preserve">d efficient use of resources. </w:t>
      </w:r>
      <w:r w:rsidRPr="00587FAE">
        <w:rPr>
          <w:rFonts w:asciiTheme="minorHAnsi" w:hAnsiTheme="minorHAnsi" w:cstheme="minorHAnsi"/>
        </w:rPr>
        <w:t>We believe the ACNC can play an important educative role for charities and the public on the importance of efficiencies, the challenges of operating in a not-for-profit market, and the opportunities available to organisations to increase their own efficiency</w:t>
      </w:r>
      <w:r>
        <w:rPr>
          <w:rFonts w:asciiTheme="minorHAnsi" w:hAnsiTheme="minorHAnsi" w:cstheme="minorHAnsi"/>
        </w:rPr>
        <w:t>.”</w:t>
      </w:r>
    </w:p>
    <w:p w:rsidR="00C866DB" w:rsidRDefault="00C866DB" w:rsidP="00C866DB">
      <w:pPr>
        <w:spacing w:before="120" w:after="120" w:line="240" w:lineRule="auto"/>
        <w:rPr>
          <w:rFonts w:asciiTheme="minorHAnsi" w:hAnsiTheme="minorHAnsi" w:cstheme="minorHAnsi"/>
        </w:rPr>
      </w:pPr>
      <w:r>
        <w:rPr>
          <w:rFonts w:asciiTheme="minorHAnsi" w:hAnsiTheme="minorHAnsi" w:cstheme="minorHAnsi"/>
        </w:rPr>
        <w:t xml:space="preserve">The ACNC Commissioner went on to cite the work the Community Council for Australia (CCA) and in </w:t>
      </w:r>
      <w:r w:rsidR="002D4DCC">
        <w:rPr>
          <w:rFonts w:asciiTheme="minorHAnsi" w:hAnsiTheme="minorHAnsi" w:cstheme="minorHAnsi"/>
        </w:rPr>
        <w:t>particular,</w:t>
      </w:r>
      <w:r>
        <w:rPr>
          <w:rFonts w:asciiTheme="minorHAnsi" w:hAnsiTheme="minorHAnsi" w:cstheme="minorHAnsi"/>
        </w:rPr>
        <w:t xml:space="preserve"> the CCA report </w:t>
      </w:r>
      <w:r w:rsidRPr="00463F84">
        <w:rPr>
          <w:rFonts w:asciiTheme="minorHAnsi" w:hAnsiTheme="minorHAnsi" w:cstheme="minorHAnsi"/>
          <w:i/>
        </w:rPr>
        <w:t xml:space="preserve">Better Using Our </w:t>
      </w:r>
      <w:r w:rsidR="002D4DCC" w:rsidRPr="00463F84">
        <w:rPr>
          <w:rFonts w:asciiTheme="minorHAnsi" w:hAnsiTheme="minorHAnsi" w:cstheme="minorHAnsi"/>
          <w:i/>
        </w:rPr>
        <w:t>Assets</w:t>
      </w:r>
      <w:r w:rsidR="002D4DCC">
        <w:rPr>
          <w:rFonts w:asciiTheme="minorHAnsi" w:hAnsiTheme="minorHAnsi" w:cstheme="minorHAnsi"/>
        </w:rPr>
        <w:t xml:space="preserve"> that</w:t>
      </w:r>
      <w:r>
        <w:rPr>
          <w:rFonts w:asciiTheme="minorHAnsi" w:hAnsiTheme="minorHAnsi" w:cstheme="minorHAnsi"/>
        </w:rPr>
        <w:t xml:space="preserve"> considered </w:t>
      </w:r>
      <w:r w:rsidRPr="00C50109">
        <w:rPr>
          <w:rFonts w:asciiTheme="minorHAnsi" w:hAnsiTheme="minorHAnsi" w:cstheme="minorHAnsi"/>
        </w:rPr>
        <w:t>key efficiency topics</w:t>
      </w:r>
      <w:r>
        <w:rPr>
          <w:rFonts w:asciiTheme="minorHAnsi" w:hAnsiTheme="minorHAnsi" w:cstheme="minorHAnsi"/>
        </w:rPr>
        <w:t xml:space="preserve"> for the sector.</w:t>
      </w:r>
    </w:p>
    <w:p w:rsidR="00C866DB" w:rsidRDefault="00C866DB" w:rsidP="00C866DB">
      <w:pPr>
        <w:spacing w:before="120" w:after="120" w:line="240" w:lineRule="auto"/>
        <w:rPr>
          <w:rFonts w:asciiTheme="minorHAnsi" w:hAnsiTheme="minorHAnsi" w:cstheme="minorHAnsi"/>
        </w:rPr>
      </w:pPr>
      <w:r>
        <w:rPr>
          <w:rFonts w:asciiTheme="minorHAnsi" w:hAnsiTheme="minorHAnsi" w:cstheme="minorHAnsi"/>
        </w:rPr>
        <w:t>The Partnership notes that the CCA report offers a useful set of proposals for sector reform, including that NFPs should develop appropriate measures (to measure impacts) and report about their success.</w:t>
      </w:r>
    </w:p>
    <w:p w:rsidR="00C866DB" w:rsidRDefault="00C866DB" w:rsidP="00C866DB">
      <w:pPr>
        <w:spacing w:before="120" w:after="120" w:line="240" w:lineRule="auto"/>
        <w:rPr>
          <w:rFonts w:asciiTheme="minorHAnsi" w:hAnsiTheme="minorHAnsi" w:cstheme="minorHAnsi"/>
        </w:rPr>
      </w:pPr>
      <w:r>
        <w:rPr>
          <w:rFonts w:asciiTheme="minorHAnsi" w:hAnsiTheme="minorHAnsi" w:cstheme="minorHAnsi"/>
        </w:rPr>
        <w:t>The CCA report offers a useful definition of what can reasonably be considered to constitute NFPs resources (or assets), which include not only tangible resources, such as funds, property, but also expertise and people, knowledge and insights and brand and relationships.  The latter could be also be seen as encompassing reputation (and implicit within that, public trust and confidence).</w:t>
      </w:r>
    </w:p>
    <w:p w:rsidR="00C866DB" w:rsidRDefault="00C866DB" w:rsidP="00C866DB">
      <w:pPr>
        <w:spacing w:before="120" w:after="120" w:line="240" w:lineRule="auto"/>
        <w:rPr>
          <w:rFonts w:asciiTheme="minorHAnsi" w:hAnsiTheme="minorHAnsi" w:cstheme="minorHAnsi"/>
        </w:rPr>
      </w:pPr>
      <w:r>
        <w:rPr>
          <w:rFonts w:asciiTheme="minorHAnsi" w:hAnsiTheme="minorHAnsi" w:cstheme="minorHAnsi"/>
        </w:rPr>
        <w:t xml:space="preserve">The Partnership suggests therefore that </w:t>
      </w:r>
      <w:r w:rsidRPr="00C50109">
        <w:rPr>
          <w:rFonts w:asciiTheme="minorHAnsi" w:hAnsiTheme="minorHAnsi" w:cstheme="minorHAnsi"/>
        </w:rPr>
        <w:t xml:space="preserve">the effective use of the resources of </w:t>
      </w:r>
      <w:r>
        <w:rPr>
          <w:rFonts w:asciiTheme="minorHAnsi" w:hAnsiTheme="minorHAnsi" w:cstheme="minorHAnsi"/>
        </w:rPr>
        <w:t xml:space="preserve">NFP </w:t>
      </w:r>
      <w:r w:rsidRPr="00C50109">
        <w:rPr>
          <w:rFonts w:asciiTheme="minorHAnsi" w:hAnsiTheme="minorHAnsi" w:cstheme="minorHAnsi"/>
        </w:rPr>
        <w:t>entities</w:t>
      </w:r>
      <w:r>
        <w:rPr>
          <w:rFonts w:asciiTheme="minorHAnsi" w:hAnsiTheme="minorHAnsi" w:cstheme="minorHAnsi"/>
        </w:rPr>
        <w:t xml:space="preserve"> goes well beyond the financial and embraces a diverse range of tangible and intangible </w:t>
      </w:r>
      <w:r w:rsidR="00490CFD">
        <w:rPr>
          <w:rFonts w:asciiTheme="minorHAnsi" w:hAnsiTheme="minorHAnsi" w:cstheme="minorHAnsi"/>
        </w:rPr>
        <w:t>resources for NFPs to manage.</w:t>
      </w:r>
      <w:r>
        <w:rPr>
          <w:rFonts w:asciiTheme="minorHAnsi" w:hAnsiTheme="minorHAnsi" w:cstheme="minorHAnsi"/>
        </w:rPr>
        <w:t xml:space="preserve">The CCA report recommends that all NFPs should seek to better understand risk and opportunity in managing their organisation.  </w:t>
      </w:r>
    </w:p>
    <w:p w:rsidR="00C866DB" w:rsidRDefault="00C866DB" w:rsidP="00C866DB">
      <w:pPr>
        <w:spacing w:before="120" w:after="120" w:line="240" w:lineRule="auto"/>
        <w:rPr>
          <w:rFonts w:asciiTheme="minorHAnsi" w:hAnsiTheme="minorHAnsi" w:cstheme="minorHAnsi"/>
        </w:rPr>
      </w:pPr>
      <w:r>
        <w:rPr>
          <w:rFonts w:asciiTheme="minorHAnsi" w:hAnsiTheme="minorHAnsi" w:cstheme="minorHAnsi"/>
        </w:rPr>
        <w:t>The effective management of staff and volunteers as its’ primary resource is arguably one of the greatest challenges for individual NFP organisations and for the sector as a whole.  It contains some of the greatest risks for the sector in terms of public trust and confidence and the extent to which charities build and sustain their brand/reputation with the community.</w:t>
      </w:r>
    </w:p>
    <w:p w:rsidR="00C866DB" w:rsidRPr="00F31004" w:rsidRDefault="00C866DB" w:rsidP="00C866DB">
      <w:pPr>
        <w:spacing w:before="240" w:after="120" w:line="240" w:lineRule="auto"/>
        <w:rPr>
          <w:rFonts w:asciiTheme="minorHAnsi" w:hAnsiTheme="minorHAnsi" w:cstheme="minorHAnsi"/>
        </w:rPr>
      </w:pPr>
      <w:r w:rsidRPr="00C715B0">
        <w:rPr>
          <w:rFonts w:asciiTheme="minorHAnsi" w:hAnsiTheme="minorHAnsi" w:cstheme="minorHAnsi"/>
        </w:rPr>
        <w:t xml:space="preserve">The </w:t>
      </w:r>
      <w:r w:rsidRPr="00C715B0">
        <w:rPr>
          <w:rFonts w:asciiTheme="minorHAnsi" w:hAnsiTheme="minorHAnsi" w:cstheme="minorHAnsi"/>
          <w:i/>
        </w:rPr>
        <w:t>ACNC 2016 Charity Report highlights</w:t>
      </w:r>
      <w:r w:rsidRPr="00C715B0">
        <w:rPr>
          <w:rFonts w:asciiTheme="minorHAnsi" w:hAnsiTheme="minorHAnsi" w:cstheme="minorHAnsi"/>
        </w:rPr>
        <w:t xml:space="preserve"> that as half of charities employ no paid staff, the role of volunteers in charities is critical.  </w:t>
      </w:r>
      <w:r>
        <w:rPr>
          <w:rFonts w:asciiTheme="minorHAnsi" w:hAnsiTheme="minorHAnsi" w:cstheme="minorHAnsi"/>
        </w:rPr>
        <w:t xml:space="preserve"> T</w:t>
      </w:r>
      <w:r w:rsidRPr="00F31004">
        <w:rPr>
          <w:rFonts w:asciiTheme="minorHAnsi" w:hAnsiTheme="minorHAnsi" w:cstheme="minorHAnsi"/>
        </w:rPr>
        <w:t>ogether, charities drew on the volunteer efforts of 2.9 million people over the year</w:t>
      </w:r>
      <w:r>
        <w:rPr>
          <w:rFonts w:asciiTheme="minorHAnsi" w:hAnsiTheme="minorHAnsi" w:cstheme="minorHAnsi"/>
        </w:rPr>
        <w:t xml:space="preserve">, where </w:t>
      </w:r>
      <w:r w:rsidRPr="00F31004">
        <w:rPr>
          <w:rFonts w:asciiTheme="minorHAnsi" w:hAnsiTheme="minorHAnsi" w:cstheme="minorHAnsi"/>
        </w:rPr>
        <w:t>me</w:t>
      </w:r>
      <w:r>
        <w:rPr>
          <w:rFonts w:asciiTheme="minorHAnsi" w:hAnsiTheme="minorHAnsi" w:cstheme="minorHAnsi"/>
        </w:rPr>
        <w:t xml:space="preserve">dian </w:t>
      </w:r>
      <w:r w:rsidRPr="00F31004">
        <w:rPr>
          <w:rFonts w:asciiTheme="minorHAnsi" w:hAnsiTheme="minorHAnsi" w:cstheme="minorHAnsi"/>
        </w:rPr>
        <w:t xml:space="preserve">number of volunteers per charity was </w:t>
      </w:r>
      <w:r>
        <w:rPr>
          <w:rFonts w:asciiTheme="minorHAnsi" w:hAnsiTheme="minorHAnsi" w:cstheme="minorHAnsi"/>
        </w:rPr>
        <w:t>10 people.  N</w:t>
      </w:r>
      <w:r w:rsidRPr="00F31004">
        <w:rPr>
          <w:rFonts w:asciiTheme="minorHAnsi" w:hAnsiTheme="minorHAnsi" w:cstheme="minorHAnsi"/>
        </w:rPr>
        <w:t xml:space="preserve">early half a million volunteers’ main activity was </w:t>
      </w:r>
      <w:r>
        <w:rPr>
          <w:rFonts w:asciiTheme="minorHAnsi" w:hAnsiTheme="minorHAnsi" w:cstheme="minorHAnsi"/>
        </w:rPr>
        <w:t xml:space="preserve">in </w:t>
      </w:r>
      <w:r w:rsidRPr="00F31004">
        <w:rPr>
          <w:rFonts w:asciiTheme="minorHAnsi" w:hAnsiTheme="minorHAnsi" w:cstheme="minorHAnsi"/>
        </w:rPr>
        <w:t>emergency relief or social services</w:t>
      </w:r>
      <w:r>
        <w:rPr>
          <w:rFonts w:asciiTheme="minorHAnsi" w:hAnsiTheme="minorHAnsi" w:cstheme="minorHAnsi"/>
        </w:rPr>
        <w:t xml:space="preserve"> sectors</w:t>
      </w:r>
      <w:r w:rsidRPr="00F31004">
        <w:rPr>
          <w:rFonts w:asciiTheme="minorHAnsi" w:hAnsiTheme="minorHAnsi" w:cstheme="minorHAnsi"/>
        </w:rPr>
        <w:t xml:space="preserve">.  </w:t>
      </w:r>
    </w:p>
    <w:p w:rsidR="00C866DB" w:rsidRDefault="00C866DB" w:rsidP="00C866DB">
      <w:pPr>
        <w:spacing w:before="120" w:after="120" w:line="240" w:lineRule="auto"/>
        <w:rPr>
          <w:rFonts w:asciiTheme="minorHAnsi" w:hAnsiTheme="minorHAnsi" w:cstheme="minorHAnsi"/>
        </w:rPr>
      </w:pPr>
      <w:r w:rsidRPr="0020493A">
        <w:rPr>
          <w:rFonts w:asciiTheme="minorHAnsi" w:hAnsiTheme="minorHAnsi" w:cstheme="minorHAnsi"/>
        </w:rPr>
        <w:t xml:space="preserve">The Partnership questions whether the ACNC should divert its efforts from its primary regulatory role to pursue this issue, given the best use of resources is </w:t>
      </w:r>
      <w:r>
        <w:rPr>
          <w:rFonts w:asciiTheme="minorHAnsi" w:hAnsiTheme="minorHAnsi" w:cstheme="minorHAnsi"/>
        </w:rPr>
        <w:t xml:space="preserve">a </w:t>
      </w:r>
      <w:r w:rsidRPr="0020493A">
        <w:rPr>
          <w:rFonts w:asciiTheme="minorHAnsi" w:hAnsiTheme="minorHAnsi" w:cstheme="minorHAnsi"/>
        </w:rPr>
        <w:t xml:space="preserve">matter for the judgment and capacity of NFP organisations.  </w:t>
      </w:r>
    </w:p>
    <w:p w:rsidR="00C866DB" w:rsidRDefault="00C866DB" w:rsidP="00C866DB">
      <w:pPr>
        <w:spacing w:before="120" w:after="120" w:line="240" w:lineRule="auto"/>
        <w:rPr>
          <w:rFonts w:asciiTheme="minorHAnsi" w:hAnsiTheme="minorHAnsi" w:cstheme="minorHAnsi"/>
        </w:rPr>
      </w:pPr>
      <w:r w:rsidRPr="0020493A">
        <w:rPr>
          <w:rFonts w:asciiTheme="minorHAnsi" w:hAnsiTheme="minorHAnsi" w:cstheme="minorHAnsi"/>
        </w:rPr>
        <w:t xml:space="preserve">While there might be scope </w:t>
      </w:r>
      <w:r>
        <w:rPr>
          <w:rFonts w:asciiTheme="minorHAnsi" w:hAnsiTheme="minorHAnsi" w:cstheme="minorHAnsi"/>
        </w:rPr>
        <w:t>to offer practical</w:t>
      </w:r>
      <w:r w:rsidRPr="0020493A">
        <w:rPr>
          <w:rFonts w:asciiTheme="minorHAnsi" w:hAnsiTheme="minorHAnsi" w:cstheme="minorHAnsi"/>
        </w:rPr>
        <w:t xml:space="preserve"> advice, tools and resources to support the more effective use of charitable resources, this would be best done by the sector itself and by other existing or new bodies, more clearly charged with a capacity-building </w:t>
      </w:r>
      <w:r>
        <w:rPr>
          <w:rFonts w:asciiTheme="minorHAnsi" w:hAnsiTheme="minorHAnsi" w:cstheme="minorHAnsi"/>
        </w:rPr>
        <w:t xml:space="preserve">and support </w:t>
      </w:r>
      <w:r w:rsidRPr="0020493A">
        <w:rPr>
          <w:rFonts w:asciiTheme="minorHAnsi" w:hAnsiTheme="minorHAnsi" w:cstheme="minorHAnsi"/>
        </w:rPr>
        <w:t xml:space="preserve">role for the sector. </w:t>
      </w:r>
    </w:p>
    <w:p w:rsidR="00C866DB" w:rsidRDefault="004A5AAE" w:rsidP="004A5AAE">
      <w:pPr>
        <w:spacing w:before="240" w:after="120" w:line="240" w:lineRule="auto"/>
        <w:rPr>
          <w:rFonts w:asciiTheme="minorHAnsi" w:hAnsiTheme="minorHAnsi" w:cstheme="minorHAnsi"/>
        </w:rPr>
      </w:pPr>
      <w:r>
        <w:rPr>
          <w:rFonts w:asciiTheme="minorHAnsi" w:hAnsiTheme="minorHAnsi" w:cstheme="minorHAnsi"/>
        </w:rPr>
        <w:t>W</w:t>
      </w:r>
      <w:r w:rsidR="00F6751C" w:rsidRPr="0094590A">
        <w:rPr>
          <w:rFonts w:asciiTheme="minorHAnsi" w:hAnsiTheme="minorHAnsi" w:cstheme="minorHAnsi"/>
        </w:rPr>
        <w:t>hile the ACNC has a facilitative role to play, there is a careful balancing needed of its facilitator role with its role as the regulator of the sector.</w:t>
      </w:r>
      <w:r w:rsidRPr="0094590A">
        <w:rPr>
          <w:rStyle w:val="FootnoteReference"/>
          <w:rFonts w:asciiTheme="minorHAnsi" w:hAnsiTheme="minorHAnsi" w:cstheme="minorHAnsi"/>
        </w:rPr>
        <w:footnoteReference w:id="16"/>
      </w:r>
      <w:r>
        <w:rPr>
          <w:rFonts w:asciiTheme="minorHAnsi" w:hAnsiTheme="minorHAnsi" w:cstheme="minorHAnsi"/>
        </w:rPr>
        <w:t xml:space="preserve">  </w:t>
      </w:r>
      <w:r w:rsidR="00C866DB" w:rsidRPr="0094590A">
        <w:rPr>
          <w:rFonts w:asciiTheme="minorHAnsi" w:hAnsiTheme="minorHAnsi" w:cstheme="minorHAnsi"/>
        </w:rPr>
        <w:t xml:space="preserve">The Partnership considers that the ACNC should continue to play an active </w:t>
      </w:r>
      <w:r w:rsidR="00AE73D5" w:rsidRPr="0094590A">
        <w:rPr>
          <w:rFonts w:asciiTheme="minorHAnsi" w:hAnsiTheme="minorHAnsi" w:cstheme="minorHAnsi"/>
        </w:rPr>
        <w:t>facilitator role in education</w:t>
      </w:r>
      <w:r w:rsidR="00C866DB" w:rsidRPr="0094590A">
        <w:rPr>
          <w:rFonts w:asciiTheme="minorHAnsi" w:hAnsiTheme="minorHAnsi" w:cstheme="minorHAnsi"/>
        </w:rPr>
        <w:t xml:space="preserve"> and guidance</w:t>
      </w:r>
      <w:r w:rsidR="00C866DB" w:rsidRPr="00F31004">
        <w:rPr>
          <w:rFonts w:asciiTheme="minorHAnsi" w:hAnsiTheme="minorHAnsi" w:cstheme="minorHAnsi"/>
        </w:rPr>
        <w:t xml:space="preserve"> for the sector in relation to, among other things, financial management and good governance</w:t>
      </w:r>
      <w:r w:rsidR="00C866DB">
        <w:rPr>
          <w:rFonts w:asciiTheme="minorHAnsi" w:hAnsiTheme="minorHAnsi" w:cstheme="minorHAnsi"/>
        </w:rPr>
        <w:t xml:space="preserve">.   The ACNC could enhance the online resources it offers on the ACNC website (i.e. webinars, factsheets) to cover other related topics, such as volunteer management and risk management. </w:t>
      </w:r>
    </w:p>
    <w:p w:rsidR="00C866DB" w:rsidRPr="0094590A" w:rsidRDefault="00C866DB" w:rsidP="00C866DB">
      <w:pPr>
        <w:pStyle w:val="ListParagraph"/>
        <w:spacing w:before="120" w:after="120" w:line="240" w:lineRule="auto"/>
        <w:ind w:left="0"/>
        <w:contextualSpacing w:val="0"/>
        <w:rPr>
          <w:rFonts w:asciiTheme="minorHAnsi" w:hAnsiTheme="minorHAnsi" w:cstheme="minorHAnsi"/>
        </w:rPr>
      </w:pPr>
      <w:r w:rsidRPr="0094590A">
        <w:rPr>
          <w:rFonts w:asciiTheme="minorHAnsi" w:hAnsiTheme="minorHAnsi" w:cstheme="minorHAnsi"/>
        </w:rPr>
        <w:t xml:space="preserve">The ACNC could use its position more strategically to </w:t>
      </w:r>
      <w:r w:rsidR="0090518F" w:rsidRPr="0094590A">
        <w:rPr>
          <w:rFonts w:asciiTheme="minorHAnsi" w:hAnsiTheme="minorHAnsi" w:cstheme="minorHAnsi"/>
        </w:rPr>
        <w:t xml:space="preserve">facilitate and encourage </w:t>
      </w:r>
      <w:r w:rsidRPr="0094590A">
        <w:rPr>
          <w:rFonts w:asciiTheme="minorHAnsi" w:hAnsiTheme="minorHAnsi" w:cstheme="minorHAnsi"/>
        </w:rPr>
        <w:t xml:space="preserve">a greater preventative and early intervention role with charities that are exhibiting early signs of financial and other institutional stress and risk. </w:t>
      </w:r>
    </w:p>
    <w:p w:rsidR="00B84EC0" w:rsidRPr="00B84EC0" w:rsidRDefault="00C866DB" w:rsidP="00B84EC0">
      <w:pPr>
        <w:pStyle w:val="ListParagraph"/>
        <w:spacing w:before="120" w:after="120" w:line="240" w:lineRule="auto"/>
        <w:ind w:left="0"/>
        <w:contextualSpacing w:val="0"/>
        <w:rPr>
          <w:rFonts w:asciiTheme="minorHAnsi" w:hAnsiTheme="minorHAnsi" w:cstheme="minorHAnsi"/>
        </w:rPr>
      </w:pPr>
      <w:r w:rsidRPr="0094590A">
        <w:rPr>
          <w:rFonts w:asciiTheme="minorHAnsi" w:hAnsiTheme="minorHAnsi" w:cstheme="minorHAnsi"/>
        </w:rPr>
        <w:t>The Partnership suggests that a more appropriate focus for the ACNC may be on the impacts that charities achieve</w:t>
      </w:r>
      <w:r w:rsidR="00910E1F" w:rsidRPr="0094590A">
        <w:rPr>
          <w:rFonts w:asciiTheme="minorHAnsi" w:hAnsiTheme="minorHAnsi" w:cstheme="minorHAnsi"/>
        </w:rPr>
        <w:t>,</w:t>
      </w:r>
      <w:r w:rsidRPr="0094590A">
        <w:rPr>
          <w:rFonts w:asciiTheme="minorHAnsi" w:hAnsiTheme="minorHAnsi" w:cstheme="minorHAnsi"/>
        </w:rPr>
        <w:t xml:space="preserve"> </w:t>
      </w:r>
      <w:r w:rsidR="00910E1F" w:rsidRPr="0094590A">
        <w:rPr>
          <w:rFonts w:asciiTheme="minorHAnsi" w:hAnsiTheme="minorHAnsi" w:cstheme="minorHAnsi"/>
        </w:rPr>
        <w:t>in line with t</w:t>
      </w:r>
      <w:r w:rsidRPr="0094590A">
        <w:rPr>
          <w:rFonts w:asciiTheme="minorHAnsi" w:hAnsiTheme="minorHAnsi" w:cstheme="minorHAnsi"/>
        </w:rPr>
        <w:t xml:space="preserve">he ACNC twin goals of transparency and accountability to underpin public trust and confidence in the sector.  </w:t>
      </w:r>
      <w:r w:rsidR="00B84EC0" w:rsidRPr="0094590A">
        <w:rPr>
          <w:rFonts w:asciiTheme="minorHAnsi" w:hAnsiTheme="minorHAnsi" w:cstheme="minorHAnsi"/>
        </w:rPr>
        <w:t>For example, a role for the ACNC as a facilitator to encourage a greater focus in the sector on outcomes and impacts measurement and reporting, including via the ACNC Governance Standards for charities.</w:t>
      </w:r>
    </w:p>
    <w:p w:rsidR="003C24D4" w:rsidRPr="00E74E0C" w:rsidRDefault="00E97B0F" w:rsidP="00E74E0C">
      <w:pPr>
        <w:spacing w:before="240" w:after="120" w:line="240" w:lineRule="auto"/>
        <w:rPr>
          <w:rFonts w:asciiTheme="minorHAnsi" w:hAnsiTheme="minorHAnsi" w:cstheme="minorHAnsi"/>
          <w:b/>
          <w:sz w:val="24"/>
          <w:szCs w:val="24"/>
          <w:u w:val="single"/>
        </w:rPr>
      </w:pPr>
      <w:r>
        <w:rPr>
          <w:rFonts w:asciiTheme="minorHAnsi" w:hAnsiTheme="minorHAnsi" w:cstheme="minorHAnsi"/>
          <w:b/>
          <w:sz w:val="24"/>
          <w:szCs w:val="24"/>
          <w:u w:val="single"/>
        </w:rPr>
        <w:t xml:space="preserve">3. </w:t>
      </w:r>
      <w:r w:rsidR="003C24D4" w:rsidRPr="00E74E0C">
        <w:rPr>
          <w:rFonts w:asciiTheme="minorHAnsi" w:hAnsiTheme="minorHAnsi" w:cstheme="minorHAnsi"/>
          <w:b/>
          <w:sz w:val="24"/>
          <w:szCs w:val="24"/>
          <w:u w:val="single"/>
        </w:rPr>
        <w:t>Object 2: Support and sustain a robust, vibrant, independent and innovative Australian not-for-profit sector</w:t>
      </w:r>
    </w:p>
    <w:p w:rsidR="00463F84" w:rsidRPr="00463F84" w:rsidRDefault="004B34EF" w:rsidP="000E72E1">
      <w:pPr>
        <w:pStyle w:val="ListParagraph"/>
        <w:spacing w:before="120" w:after="120" w:line="240" w:lineRule="auto"/>
        <w:ind w:left="0"/>
        <w:contextualSpacing w:val="0"/>
        <w:rPr>
          <w:rFonts w:asciiTheme="minorHAnsi" w:hAnsiTheme="minorHAnsi" w:cstheme="minorHAnsi"/>
          <w:b/>
          <w:i/>
        </w:rPr>
      </w:pPr>
      <w:r>
        <w:rPr>
          <w:rFonts w:asciiTheme="minorHAnsi" w:hAnsiTheme="minorHAnsi" w:cstheme="minorHAnsi"/>
          <w:b/>
          <w:i/>
        </w:rPr>
        <w:t>3.1 The role of the ACNC in s</w:t>
      </w:r>
      <w:r w:rsidR="00E3657C">
        <w:rPr>
          <w:rFonts w:asciiTheme="minorHAnsi" w:hAnsiTheme="minorHAnsi" w:cstheme="minorHAnsi"/>
          <w:b/>
          <w:i/>
        </w:rPr>
        <w:t xml:space="preserve">ustaining the </w:t>
      </w:r>
      <w:r>
        <w:rPr>
          <w:rFonts w:asciiTheme="minorHAnsi" w:hAnsiTheme="minorHAnsi" w:cstheme="minorHAnsi"/>
          <w:b/>
          <w:i/>
        </w:rPr>
        <w:t xml:space="preserve">NFP </w:t>
      </w:r>
      <w:r w:rsidR="00E3657C">
        <w:rPr>
          <w:rFonts w:asciiTheme="minorHAnsi" w:hAnsiTheme="minorHAnsi" w:cstheme="minorHAnsi"/>
          <w:b/>
          <w:i/>
        </w:rPr>
        <w:t>sector</w:t>
      </w:r>
    </w:p>
    <w:p w:rsidR="00542F46" w:rsidRPr="00F31004" w:rsidRDefault="002B6411" w:rsidP="000E72E1">
      <w:pPr>
        <w:pStyle w:val="ListParagraph"/>
        <w:spacing w:before="120" w:after="120" w:line="240" w:lineRule="auto"/>
        <w:ind w:left="0"/>
        <w:contextualSpacing w:val="0"/>
        <w:rPr>
          <w:rFonts w:asciiTheme="minorHAnsi" w:hAnsiTheme="minorHAnsi" w:cstheme="minorHAnsi"/>
        </w:rPr>
      </w:pPr>
      <w:r>
        <w:rPr>
          <w:rFonts w:asciiTheme="minorHAnsi" w:hAnsiTheme="minorHAnsi" w:cstheme="minorHAnsi"/>
        </w:rPr>
        <w:t xml:space="preserve">The Partnership notes that </w:t>
      </w:r>
      <w:r w:rsidR="007615B7" w:rsidRPr="00F31004">
        <w:rPr>
          <w:rFonts w:asciiTheme="minorHAnsi" w:hAnsiTheme="minorHAnsi" w:cstheme="minorHAnsi"/>
        </w:rPr>
        <w:t>the Productivity Commission’s 2010 recommendations (p117), did not believe the regulator should have a role in sector development. The PC felt the regulator</w:t>
      </w:r>
      <w:r w:rsidR="00D80344" w:rsidRPr="00F31004">
        <w:rPr>
          <w:rFonts w:asciiTheme="minorHAnsi" w:hAnsiTheme="minorHAnsi" w:cstheme="minorHAnsi"/>
        </w:rPr>
        <w:t>’</w:t>
      </w:r>
      <w:r w:rsidR="007615B7" w:rsidRPr="00F31004">
        <w:rPr>
          <w:rFonts w:asciiTheme="minorHAnsi" w:hAnsiTheme="minorHAnsi" w:cstheme="minorHAnsi"/>
        </w:rPr>
        <w:t>s responsibilities</w:t>
      </w:r>
      <w:r w:rsidR="00D80344" w:rsidRPr="00F31004">
        <w:rPr>
          <w:rFonts w:asciiTheme="minorHAnsi" w:hAnsiTheme="minorHAnsi" w:cstheme="minorHAnsi"/>
        </w:rPr>
        <w:t xml:space="preserve"> should</w:t>
      </w:r>
      <w:r w:rsidR="00E74E0C">
        <w:rPr>
          <w:rFonts w:asciiTheme="minorHAnsi" w:hAnsiTheme="minorHAnsi" w:cstheme="minorHAnsi"/>
        </w:rPr>
        <w:t>,</w:t>
      </w:r>
      <w:r w:rsidR="00D80344" w:rsidRPr="00F31004">
        <w:rPr>
          <w:rFonts w:asciiTheme="minorHAnsi" w:hAnsiTheme="minorHAnsi" w:cstheme="minorHAnsi"/>
        </w:rPr>
        <w:t xml:space="preserve"> “</w:t>
      </w:r>
      <w:r w:rsidR="007615B7" w:rsidRPr="00F31004">
        <w:rPr>
          <w:rFonts w:asciiTheme="minorHAnsi" w:hAnsiTheme="minorHAnsi" w:cstheme="minorHAnsi"/>
        </w:rPr>
        <w:t xml:space="preserve">be limited to those relating to registration and reporting </w:t>
      </w:r>
      <w:r w:rsidR="004F0779" w:rsidRPr="00F31004">
        <w:rPr>
          <w:rFonts w:asciiTheme="minorHAnsi" w:hAnsiTheme="minorHAnsi" w:cstheme="minorHAnsi"/>
        </w:rPr>
        <w:t>associated with demonstrating compliance with the legal requirements that underpin public trust and confidence in the NFP sector”.</w:t>
      </w:r>
      <w:r w:rsidR="007615B7" w:rsidRPr="00F31004">
        <w:rPr>
          <w:rFonts w:asciiTheme="minorHAnsi" w:hAnsiTheme="minorHAnsi" w:cstheme="minorHAnsi"/>
        </w:rPr>
        <w:t xml:space="preserve"> </w:t>
      </w:r>
    </w:p>
    <w:p w:rsidR="001B2AC5" w:rsidRPr="0057157E" w:rsidRDefault="001B2AC5" w:rsidP="001B2AC5">
      <w:pPr>
        <w:spacing w:before="120" w:after="120" w:line="240" w:lineRule="auto"/>
        <w:rPr>
          <w:rFonts w:asciiTheme="minorHAnsi" w:hAnsiTheme="minorHAnsi" w:cstheme="minorHAnsi"/>
        </w:rPr>
      </w:pPr>
      <w:r w:rsidRPr="0057157E">
        <w:rPr>
          <w:rFonts w:asciiTheme="minorHAnsi" w:hAnsiTheme="minorHAnsi" w:cstheme="minorHAnsi"/>
        </w:rPr>
        <w:t xml:space="preserve">Inaugural </w:t>
      </w:r>
      <w:r w:rsidR="00415151">
        <w:rPr>
          <w:rFonts w:asciiTheme="minorHAnsi" w:hAnsiTheme="minorHAnsi" w:cstheme="minorHAnsi"/>
        </w:rPr>
        <w:t xml:space="preserve">ACNC </w:t>
      </w:r>
      <w:r w:rsidRPr="0057157E">
        <w:rPr>
          <w:rFonts w:asciiTheme="minorHAnsi" w:hAnsiTheme="minorHAnsi" w:cstheme="minorHAnsi"/>
        </w:rPr>
        <w:t xml:space="preserve">Commissioner </w:t>
      </w:r>
      <w:r w:rsidR="002F7CDC">
        <w:rPr>
          <w:rFonts w:asciiTheme="minorHAnsi" w:hAnsiTheme="minorHAnsi" w:cstheme="minorHAnsi"/>
        </w:rPr>
        <w:t xml:space="preserve">Ms </w:t>
      </w:r>
      <w:r w:rsidRPr="0057157E">
        <w:rPr>
          <w:rFonts w:asciiTheme="minorHAnsi" w:hAnsiTheme="minorHAnsi" w:cstheme="minorHAnsi"/>
        </w:rPr>
        <w:t xml:space="preserve">Susan Pascoe has recalled that, </w:t>
      </w:r>
    </w:p>
    <w:p w:rsidR="001B2AC5" w:rsidRPr="0057157E" w:rsidRDefault="001B2AC5" w:rsidP="002F7CDC">
      <w:pPr>
        <w:spacing w:before="120" w:after="120" w:line="240" w:lineRule="auto"/>
        <w:ind w:left="720"/>
        <w:rPr>
          <w:rFonts w:asciiTheme="minorHAnsi" w:hAnsiTheme="minorHAnsi" w:cstheme="minorHAnsi"/>
        </w:rPr>
      </w:pPr>
      <w:r w:rsidRPr="0057157E">
        <w:rPr>
          <w:rFonts w:asciiTheme="minorHAnsi" w:hAnsiTheme="minorHAnsi" w:cstheme="minorHAnsi"/>
        </w:rPr>
        <w:t>“The ACNC was conscious of the need to manage the tension between its keenness to engage with and support the sector, and its responsibility to supervise and regulate it.”</w:t>
      </w:r>
      <w:r w:rsidR="002F7CDC" w:rsidRPr="002F7CDC">
        <w:rPr>
          <w:rStyle w:val="FootnoteReference"/>
          <w:rFonts w:asciiTheme="minorHAnsi" w:hAnsiTheme="minorHAnsi" w:cstheme="minorHAnsi"/>
        </w:rPr>
        <w:t xml:space="preserve"> </w:t>
      </w:r>
      <w:r w:rsidR="002F7CDC" w:rsidRPr="0057157E">
        <w:rPr>
          <w:rStyle w:val="FootnoteReference"/>
          <w:rFonts w:asciiTheme="minorHAnsi" w:hAnsiTheme="minorHAnsi" w:cstheme="minorHAnsi"/>
        </w:rPr>
        <w:footnoteReference w:id="17"/>
      </w:r>
    </w:p>
    <w:p w:rsidR="004B34EF" w:rsidRPr="0057157E" w:rsidRDefault="002F7CDC" w:rsidP="00D23D1F">
      <w:pPr>
        <w:pStyle w:val="ListParagraph"/>
        <w:spacing w:before="120" w:after="120" w:line="240" w:lineRule="auto"/>
        <w:ind w:left="0"/>
        <w:contextualSpacing w:val="0"/>
        <w:rPr>
          <w:rFonts w:asciiTheme="minorHAnsi" w:hAnsiTheme="minorHAnsi" w:cstheme="minorHAnsi"/>
        </w:rPr>
      </w:pPr>
      <w:r>
        <w:rPr>
          <w:rFonts w:asciiTheme="minorHAnsi" w:hAnsiTheme="minorHAnsi" w:cstheme="minorHAnsi"/>
        </w:rPr>
        <w:t xml:space="preserve">Ms </w:t>
      </w:r>
      <w:r w:rsidR="00D23D1F" w:rsidRPr="0057157E">
        <w:rPr>
          <w:rFonts w:asciiTheme="minorHAnsi" w:hAnsiTheme="minorHAnsi" w:cstheme="minorHAnsi"/>
        </w:rPr>
        <w:t xml:space="preserve">Pascoe has </w:t>
      </w:r>
      <w:r w:rsidR="001B2AC5" w:rsidRPr="0057157E">
        <w:rPr>
          <w:rFonts w:asciiTheme="minorHAnsi" w:hAnsiTheme="minorHAnsi" w:cstheme="minorHAnsi"/>
        </w:rPr>
        <w:t xml:space="preserve">also </w:t>
      </w:r>
      <w:r w:rsidR="00D23D1F" w:rsidRPr="0057157E">
        <w:rPr>
          <w:rFonts w:asciiTheme="minorHAnsi" w:hAnsiTheme="minorHAnsi" w:cstheme="minorHAnsi"/>
        </w:rPr>
        <w:t xml:space="preserve">remarked that, </w:t>
      </w:r>
    </w:p>
    <w:p w:rsidR="004B34EF" w:rsidRPr="0057157E" w:rsidRDefault="00D23D1F" w:rsidP="004B34EF">
      <w:pPr>
        <w:pStyle w:val="ListParagraph"/>
        <w:spacing w:before="120" w:after="120" w:line="240" w:lineRule="auto"/>
        <w:contextualSpacing w:val="0"/>
        <w:rPr>
          <w:rFonts w:asciiTheme="minorHAnsi" w:hAnsiTheme="minorHAnsi" w:cstheme="minorHAnsi"/>
        </w:rPr>
      </w:pPr>
      <w:r w:rsidRPr="0057157E">
        <w:rPr>
          <w:rFonts w:asciiTheme="minorHAnsi" w:hAnsiTheme="minorHAnsi" w:cstheme="minorHAnsi"/>
        </w:rPr>
        <w:t>“it is unusual for a regulator to have</w:t>
      </w:r>
      <w:r w:rsidR="002F366E" w:rsidRPr="0057157E">
        <w:rPr>
          <w:rFonts w:asciiTheme="minorHAnsi" w:hAnsiTheme="minorHAnsi" w:cstheme="minorHAnsi"/>
        </w:rPr>
        <w:t xml:space="preserve"> a requirement to support the sustainability of a robust, vibrant, independent and innovative sector.  Unsurprisingly, there were few models within Australia or internationally for the ACNC to adopt, and no additional budget for this object.</w:t>
      </w:r>
      <w:r w:rsidR="004B34EF" w:rsidRPr="0057157E">
        <w:rPr>
          <w:rFonts w:asciiTheme="minorHAnsi" w:hAnsiTheme="minorHAnsi" w:cstheme="minorHAnsi"/>
        </w:rPr>
        <w:t>”</w:t>
      </w:r>
      <w:r w:rsidRPr="0057157E">
        <w:rPr>
          <w:rStyle w:val="FootnoteReference"/>
          <w:rFonts w:asciiTheme="minorHAnsi" w:hAnsiTheme="minorHAnsi" w:cstheme="minorHAnsi"/>
        </w:rPr>
        <w:footnoteReference w:id="18"/>
      </w:r>
    </w:p>
    <w:p w:rsidR="00DD2BCA" w:rsidRDefault="002F7CDC" w:rsidP="002F7CDC">
      <w:pPr>
        <w:spacing w:before="120" w:after="120" w:line="240" w:lineRule="auto"/>
        <w:rPr>
          <w:rFonts w:asciiTheme="minorHAnsi" w:hAnsiTheme="minorHAnsi" w:cstheme="minorHAnsi"/>
        </w:rPr>
      </w:pPr>
      <w:r>
        <w:rPr>
          <w:rFonts w:asciiTheme="minorHAnsi" w:hAnsiTheme="minorHAnsi" w:cstheme="minorHAnsi"/>
        </w:rPr>
        <w:t xml:space="preserve">Ms </w:t>
      </w:r>
      <w:r w:rsidR="002F366E" w:rsidRPr="0057157E">
        <w:rPr>
          <w:rFonts w:asciiTheme="minorHAnsi" w:hAnsiTheme="minorHAnsi" w:cstheme="minorHAnsi"/>
        </w:rPr>
        <w:t xml:space="preserve">Pascoe had earlier noted that objects two and three were only added following successful lobbying from sector advocates, and only after the Cabinet had already agreed to the single (first) object and the budget allocation for the ACNC.  </w:t>
      </w:r>
      <w:r>
        <w:rPr>
          <w:rFonts w:asciiTheme="minorHAnsi" w:hAnsiTheme="minorHAnsi" w:cstheme="minorHAnsi"/>
        </w:rPr>
        <w:t xml:space="preserve"> She </w:t>
      </w:r>
      <w:r w:rsidR="001B2AC5" w:rsidRPr="0057157E">
        <w:rPr>
          <w:rFonts w:asciiTheme="minorHAnsi" w:hAnsiTheme="minorHAnsi" w:cstheme="minorHAnsi"/>
        </w:rPr>
        <w:t>recal</w:t>
      </w:r>
      <w:r w:rsidR="00DD2BCA" w:rsidRPr="0057157E">
        <w:rPr>
          <w:rFonts w:asciiTheme="minorHAnsi" w:hAnsiTheme="minorHAnsi" w:cstheme="minorHAnsi"/>
        </w:rPr>
        <w:t>ls how the ACNC stretched its budget to ensure the sustainability object was not ignored, taking the view that the ACNC could support the sustainability of the sector by building the evidence base on which it could operate</w:t>
      </w:r>
      <w:r w:rsidR="00A14017" w:rsidRPr="0057157E">
        <w:rPr>
          <w:rFonts w:asciiTheme="minorHAnsi" w:hAnsiTheme="minorHAnsi" w:cstheme="minorHAnsi"/>
        </w:rPr>
        <w:t xml:space="preserve"> and developing its data analysis capability</w:t>
      </w:r>
      <w:r w:rsidR="00DD2BCA" w:rsidRPr="0057157E">
        <w:rPr>
          <w:rFonts w:asciiTheme="minorHAnsi" w:hAnsiTheme="minorHAnsi" w:cstheme="minorHAnsi"/>
        </w:rPr>
        <w:t xml:space="preserve">, and sharing that </w:t>
      </w:r>
      <w:r w:rsidR="00A14017" w:rsidRPr="0057157E">
        <w:rPr>
          <w:rFonts w:asciiTheme="minorHAnsi" w:hAnsiTheme="minorHAnsi" w:cstheme="minorHAnsi"/>
        </w:rPr>
        <w:t xml:space="preserve">data and </w:t>
      </w:r>
      <w:r w:rsidR="00DD2BCA" w:rsidRPr="0057157E">
        <w:rPr>
          <w:rFonts w:asciiTheme="minorHAnsi" w:hAnsiTheme="minorHAnsi" w:cstheme="minorHAnsi"/>
        </w:rPr>
        <w:t>knowledge broadly to strengthen the understanding of the sector</w:t>
      </w:r>
      <w:r w:rsidR="00D804FC" w:rsidRPr="0057157E">
        <w:rPr>
          <w:rFonts w:asciiTheme="minorHAnsi" w:hAnsiTheme="minorHAnsi" w:cstheme="minorHAnsi"/>
        </w:rPr>
        <w:t>.  For</w:t>
      </w:r>
      <w:r w:rsidR="00E66F2F" w:rsidRPr="0057157E">
        <w:rPr>
          <w:rFonts w:asciiTheme="minorHAnsi" w:hAnsiTheme="minorHAnsi" w:cstheme="minorHAnsi"/>
        </w:rPr>
        <w:t xml:space="preserve"> example, </w:t>
      </w:r>
      <w:r w:rsidR="00D804FC" w:rsidRPr="0057157E">
        <w:rPr>
          <w:rFonts w:asciiTheme="minorHAnsi" w:hAnsiTheme="minorHAnsi" w:cstheme="minorHAnsi"/>
        </w:rPr>
        <w:t xml:space="preserve">through </w:t>
      </w:r>
      <w:r w:rsidR="00E66F2F" w:rsidRPr="0057157E">
        <w:rPr>
          <w:rFonts w:asciiTheme="minorHAnsi" w:hAnsiTheme="minorHAnsi" w:cstheme="minorHAnsi"/>
        </w:rPr>
        <w:t>the ACNC’s annual</w:t>
      </w:r>
      <w:r w:rsidR="00D053F7" w:rsidRPr="0057157E">
        <w:rPr>
          <w:rFonts w:asciiTheme="minorHAnsi" w:hAnsiTheme="minorHAnsi" w:cstheme="minorHAnsi"/>
        </w:rPr>
        <w:t xml:space="preserve"> </w:t>
      </w:r>
      <w:r w:rsidR="00D053F7" w:rsidRPr="0057157E">
        <w:rPr>
          <w:rFonts w:asciiTheme="minorHAnsi" w:hAnsiTheme="minorHAnsi" w:cstheme="minorHAnsi"/>
          <w:i/>
        </w:rPr>
        <w:t>Australian Charities Report</w:t>
      </w:r>
      <w:r w:rsidR="00D053F7" w:rsidRPr="0057157E">
        <w:rPr>
          <w:rFonts w:asciiTheme="minorHAnsi" w:hAnsiTheme="minorHAnsi" w:cstheme="minorHAnsi"/>
        </w:rPr>
        <w:t>.</w:t>
      </w:r>
      <w:r w:rsidR="00D053F7">
        <w:rPr>
          <w:rFonts w:asciiTheme="minorHAnsi" w:hAnsiTheme="minorHAnsi" w:cstheme="minorHAnsi"/>
        </w:rPr>
        <w:t xml:space="preserve"> </w:t>
      </w:r>
      <w:r w:rsidR="00E66F2F">
        <w:rPr>
          <w:rFonts w:asciiTheme="minorHAnsi" w:hAnsiTheme="minorHAnsi" w:cstheme="minorHAnsi"/>
        </w:rPr>
        <w:t xml:space="preserve"> </w:t>
      </w:r>
    </w:p>
    <w:p w:rsidR="00D80344" w:rsidRDefault="00D80344" w:rsidP="000E72E1">
      <w:pPr>
        <w:pStyle w:val="ListParagraph"/>
        <w:spacing w:before="120" w:after="120" w:line="240" w:lineRule="auto"/>
        <w:ind w:left="0"/>
        <w:contextualSpacing w:val="0"/>
        <w:rPr>
          <w:rFonts w:asciiTheme="minorHAnsi" w:hAnsiTheme="minorHAnsi" w:cstheme="minorHAnsi"/>
        </w:rPr>
      </w:pPr>
      <w:r w:rsidRPr="00F31004">
        <w:rPr>
          <w:rFonts w:asciiTheme="minorHAnsi" w:hAnsiTheme="minorHAnsi" w:cstheme="minorHAnsi"/>
        </w:rPr>
        <w:t xml:space="preserve">Arguments for keeping the regulatory role separate from capacity building include the need for the ACNC to avoid the actuality or the perception of ‘regulatory capture’.  There is also an argument that the sector should be directing its own development, and that too much involvement from Government can quash innovation. </w:t>
      </w:r>
    </w:p>
    <w:p w:rsidR="00147542" w:rsidRPr="0057157E" w:rsidRDefault="002E2745" w:rsidP="000E72E1">
      <w:pPr>
        <w:pStyle w:val="ListParagraph"/>
        <w:spacing w:before="120" w:after="120" w:line="240" w:lineRule="auto"/>
        <w:ind w:left="0"/>
        <w:contextualSpacing w:val="0"/>
        <w:rPr>
          <w:rFonts w:asciiTheme="minorHAnsi" w:hAnsiTheme="minorHAnsi" w:cstheme="minorHAnsi"/>
        </w:rPr>
      </w:pPr>
      <w:r w:rsidRPr="0057157E">
        <w:rPr>
          <w:rFonts w:asciiTheme="minorHAnsi" w:hAnsiTheme="minorHAnsi" w:cstheme="minorHAnsi"/>
        </w:rPr>
        <w:t>Evidence suggest that r</w:t>
      </w:r>
      <w:r w:rsidR="00147542" w:rsidRPr="0057157E">
        <w:rPr>
          <w:rFonts w:asciiTheme="minorHAnsi" w:hAnsiTheme="minorHAnsi" w:cstheme="minorHAnsi"/>
        </w:rPr>
        <w:t>egulatory bodies overseas maintain this separation of roles, for example:</w:t>
      </w:r>
    </w:p>
    <w:p w:rsidR="00147542" w:rsidRPr="0057157E" w:rsidRDefault="00147542" w:rsidP="00147542">
      <w:pPr>
        <w:pStyle w:val="ListParagraph"/>
        <w:numPr>
          <w:ilvl w:val="1"/>
          <w:numId w:val="18"/>
        </w:numPr>
        <w:spacing w:before="120" w:after="120" w:line="240" w:lineRule="auto"/>
        <w:ind w:left="714" w:hanging="357"/>
        <w:contextualSpacing w:val="0"/>
        <w:rPr>
          <w:rFonts w:asciiTheme="minorHAnsi" w:hAnsiTheme="minorHAnsi" w:cstheme="minorHAnsi"/>
        </w:rPr>
      </w:pPr>
      <w:r w:rsidRPr="0057157E">
        <w:rPr>
          <w:rFonts w:asciiTheme="minorHAnsi" w:hAnsiTheme="minorHAnsi" w:cstheme="minorHAnsi"/>
        </w:rPr>
        <w:t>The Charities Service in New Zealand</w:t>
      </w:r>
      <w:r w:rsidRPr="0057157E">
        <w:rPr>
          <w:rStyle w:val="FootnoteReference"/>
          <w:rFonts w:asciiTheme="minorHAnsi" w:hAnsiTheme="minorHAnsi" w:cstheme="minorHAnsi"/>
        </w:rPr>
        <w:footnoteReference w:id="19"/>
      </w:r>
      <w:r w:rsidRPr="0057157E">
        <w:rPr>
          <w:rFonts w:asciiTheme="minorHAnsi" w:hAnsiTheme="minorHAnsi" w:cstheme="minorHAnsi"/>
        </w:rPr>
        <w:t xml:space="preserve"> administers the Charities Act 2005 and is part of the Department of Internal Affairs but supports an independent Charities Regulation Board that applies the Act and makes decisions on the charitable status of organisations.   The roles of the Charities Service is to promote public trust and confidence in the charitable sector and to encourage the effective use of charitable resources.  The latter it does by registering and monitoring charities and processing Annual Returns.  It also encourages good governance and management practices by educational support, advice and materials.   These are broadly consistent with the ACNC’s Object 1 but it does not play a broader role in sector development akin to the ACNC’s Object 2</w:t>
      </w:r>
      <w:r w:rsidR="00E51802" w:rsidRPr="0057157E">
        <w:rPr>
          <w:rFonts w:asciiTheme="minorHAnsi" w:hAnsiTheme="minorHAnsi" w:cstheme="minorHAnsi"/>
        </w:rPr>
        <w:t>, and</w:t>
      </w:r>
    </w:p>
    <w:p w:rsidR="00E51802" w:rsidRPr="0057157E" w:rsidRDefault="00E51802" w:rsidP="00E51802">
      <w:pPr>
        <w:pStyle w:val="ListParagraph"/>
        <w:numPr>
          <w:ilvl w:val="1"/>
          <w:numId w:val="18"/>
        </w:numPr>
        <w:spacing w:before="120" w:after="120" w:line="240" w:lineRule="auto"/>
        <w:ind w:left="717"/>
        <w:contextualSpacing w:val="0"/>
        <w:rPr>
          <w:rFonts w:asciiTheme="minorHAnsi" w:hAnsiTheme="minorHAnsi" w:cstheme="minorHAnsi"/>
        </w:rPr>
      </w:pPr>
      <w:r w:rsidRPr="0057157E">
        <w:rPr>
          <w:rFonts w:asciiTheme="minorHAnsi" w:hAnsiTheme="minorHAnsi" w:cstheme="minorHAnsi"/>
        </w:rPr>
        <w:t xml:space="preserve">The Charity Commission for England and Wales’ </w:t>
      </w:r>
      <w:r w:rsidRPr="0057157E">
        <w:rPr>
          <w:rFonts w:asciiTheme="minorHAnsi" w:hAnsiTheme="minorHAnsi" w:cstheme="minorHAnsi"/>
          <w:i/>
        </w:rPr>
        <w:t>Revised Regulatory Statement</w:t>
      </w:r>
      <w:r w:rsidRPr="0057157E">
        <w:rPr>
          <w:rStyle w:val="FootnoteReference"/>
          <w:rFonts w:asciiTheme="minorHAnsi" w:hAnsiTheme="minorHAnsi" w:cstheme="minorHAnsi"/>
          <w:i/>
        </w:rPr>
        <w:footnoteReference w:id="20"/>
      </w:r>
      <w:r w:rsidRPr="0057157E">
        <w:rPr>
          <w:rFonts w:asciiTheme="minorHAnsi" w:hAnsiTheme="minorHAnsi" w:cstheme="minorHAnsi"/>
        </w:rPr>
        <w:t xml:space="preserve"> states that it best fulfils its statutory objectives by concentrating on the following: promoting compliance by charity trustees with their legal obligations; enhancing transparency and the rigour with which we hold charities accountable; promoting the effective use of charitable resources by raising awareness, supporting trustees and enabling them to comply with their duties; and ensuring that only bodies that properly qualify as charities under the law are registered.  Many of these roles are also consistent with the ACNC’s </w:t>
      </w:r>
      <w:r w:rsidR="003A6F0F" w:rsidRPr="0057157E">
        <w:rPr>
          <w:rFonts w:asciiTheme="minorHAnsi" w:hAnsiTheme="minorHAnsi" w:cstheme="minorHAnsi"/>
        </w:rPr>
        <w:t>r</w:t>
      </w:r>
      <w:r w:rsidRPr="0057157E">
        <w:rPr>
          <w:rFonts w:asciiTheme="minorHAnsi" w:hAnsiTheme="minorHAnsi" w:cstheme="minorHAnsi"/>
        </w:rPr>
        <w:t xml:space="preserve">ole under Object 1 but again fall well short of the </w:t>
      </w:r>
      <w:r w:rsidR="003A6F0F" w:rsidRPr="0057157E">
        <w:rPr>
          <w:rFonts w:asciiTheme="minorHAnsi" w:hAnsiTheme="minorHAnsi" w:cstheme="minorHAnsi"/>
        </w:rPr>
        <w:t xml:space="preserve">broader </w:t>
      </w:r>
      <w:r w:rsidRPr="0057157E">
        <w:rPr>
          <w:rFonts w:asciiTheme="minorHAnsi" w:hAnsiTheme="minorHAnsi" w:cstheme="minorHAnsi"/>
        </w:rPr>
        <w:t>sec</w:t>
      </w:r>
      <w:r w:rsidR="003A6F0F" w:rsidRPr="0057157E">
        <w:rPr>
          <w:rFonts w:asciiTheme="minorHAnsi" w:hAnsiTheme="minorHAnsi" w:cstheme="minorHAnsi"/>
        </w:rPr>
        <w:t>t</w:t>
      </w:r>
      <w:r w:rsidRPr="0057157E">
        <w:rPr>
          <w:rFonts w:asciiTheme="minorHAnsi" w:hAnsiTheme="minorHAnsi" w:cstheme="minorHAnsi"/>
        </w:rPr>
        <w:t xml:space="preserve">or development role envisaged in Object 2.  </w:t>
      </w:r>
    </w:p>
    <w:p w:rsidR="00B5796C" w:rsidRDefault="0059588A" w:rsidP="00797847">
      <w:pPr>
        <w:spacing w:before="120" w:after="120" w:line="240" w:lineRule="auto"/>
        <w:rPr>
          <w:rFonts w:asciiTheme="minorHAnsi" w:hAnsiTheme="minorHAnsi" w:cstheme="minorHAnsi"/>
        </w:rPr>
      </w:pPr>
      <w:r w:rsidRPr="0057157E">
        <w:rPr>
          <w:rFonts w:asciiTheme="minorHAnsi" w:hAnsiTheme="minorHAnsi" w:cstheme="minorHAnsi"/>
        </w:rPr>
        <w:t>Evidence in a recent report from the UK House of Lords into the performance of the UK charity regulator</w:t>
      </w:r>
      <w:r w:rsidRPr="0057157E">
        <w:rPr>
          <w:rStyle w:val="FootnoteReference"/>
          <w:rFonts w:asciiTheme="minorHAnsi" w:hAnsiTheme="minorHAnsi" w:cstheme="minorHAnsi"/>
        </w:rPr>
        <w:footnoteReference w:id="21"/>
      </w:r>
      <w:r w:rsidRPr="0057157E">
        <w:rPr>
          <w:rFonts w:asciiTheme="minorHAnsi" w:hAnsiTheme="minorHAnsi" w:cstheme="minorHAnsi"/>
        </w:rPr>
        <w:t xml:space="preserve"> </w:t>
      </w:r>
      <w:r w:rsidR="00950C8E" w:rsidRPr="0057157E">
        <w:rPr>
          <w:rFonts w:asciiTheme="minorHAnsi" w:hAnsiTheme="minorHAnsi" w:cstheme="minorHAnsi"/>
        </w:rPr>
        <w:t xml:space="preserve">noted </w:t>
      </w:r>
      <w:r w:rsidRPr="0057157E">
        <w:rPr>
          <w:rFonts w:asciiTheme="minorHAnsi" w:hAnsiTheme="minorHAnsi" w:cstheme="minorHAnsi"/>
        </w:rPr>
        <w:t>that</w:t>
      </w:r>
      <w:r w:rsidR="00950C8E" w:rsidRPr="0057157E">
        <w:rPr>
          <w:rFonts w:asciiTheme="minorHAnsi" w:hAnsiTheme="minorHAnsi" w:cstheme="minorHAnsi"/>
        </w:rPr>
        <w:t>, “public trust and confidence in the sector depends on there being an effective regulator. Such a role is not compatible with acting as a ‘cheerleader’ for the sector”.  The report also noted that</w:t>
      </w:r>
      <w:r w:rsidR="00B5796C" w:rsidRPr="0057157E">
        <w:rPr>
          <w:rFonts w:asciiTheme="minorHAnsi" w:hAnsiTheme="minorHAnsi" w:cstheme="minorHAnsi"/>
        </w:rPr>
        <w:t xml:space="preserve">, “the Charity Commission’s regulatory focus may have come at the expense of its other role as an advisor and </w:t>
      </w:r>
      <w:r w:rsidR="00797847" w:rsidRPr="0057157E">
        <w:rPr>
          <w:rFonts w:asciiTheme="minorHAnsi" w:hAnsiTheme="minorHAnsi" w:cstheme="minorHAnsi"/>
        </w:rPr>
        <w:t>enabler to the charity sector</w:t>
      </w:r>
      <w:r w:rsidR="00B5796C" w:rsidRPr="0057157E">
        <w:rPr>
          <w:rFonts w:asciiTheme="minorHAnsi" w:hAnsiTheme="minorHAnsi" w:cstheme="minorHAnsi"/>
        </w:rPr>
        <w:t>”</w:t>
      </w:r>
      <w:r w:rsidR="00797847" w:rsidRPr="0057157E">
        <w:rPr>
          <w:rFonts w:asciiTheme="minorHAnsi" w:hAnsiTheme="minorHAnsi" w:cstheme="minorHAnsi"/>
        </w:rPr>
        <w:t xml:space="preserve"> and that “in response to significant resource constraints, the Commission appears to be moving away from an advisory role”, with sector peak bodies </w:t>
      </w:r>
      <w:r w:rsidR="004B7C74" w:rsidRPr="0057157E">
        <w:rPr>
          <w:rFonts w:asciiTheme="minorHAnsi" w:hAnsiTheme="minorHAnsi" w:cstheme="minorHAnsi"/>
        </w:rPr>
        <w:t xml:space="preserve">increasingly </w:t>
      </w:r>
      <w:r w:rsidR="00797847" w:rsidRPr="0057157E">
        <w:rPr>
          <w:rFonts w:asciiTheme="minorHAnsi" w:hAnsiTheme="minorHAnsi" w:cstheme="minorHAnsi"/>
        </w:rPr>
        <w:t>meeting this need from the sector.</w:t>
      </w:r>
      <w:r w:rsidR="00797847">
        <w:rPr>
          <w:rFonts w:asciiTheme="minorHAnsi" w:hAnsiTheme="minorHAnsi" w:cstheme="minorHAnsi"/>
        </w:rPr>
        <w:t xml:space="preserve"> </w:t>
      </w:r>
    </w:p>
    <w:p w:rsidR="002B6411" w:rsidRDefault="002B6411" w:rsidP="000E72E1">
      <w:pPr>
        <w:pStyle w:val="ListParagraph"/>
        <w:spacing w:before="120" w:after="120" w:line="240" w:lineRule="auto"/>
        <w:ind w:left="0"/>
        <w:contextualSpacing w:val="0"/>
        <w:rPr>
          <w:rFonts w:asciiTheme="minorHAnsi" w:hAnsiTheme="minorHAnsi" w:cstheme="minorHAnsi"/>
        </w:rPr>
      </w:pPr>
      <w:r>
        <w:rPr>
          <w:rFonts w:asciiTheme="minorHAnsi" w:hAnsiTheme="minorHAnsi" w:cstheme="minorHAnsi"/>
        </w:rPr>
        <w:t>A</w:t>
      </w:r>
      <w:r w:rsidRPr="00F31004">
        <w:rPr>
          <w:rFonts w:asciiTheme="minorHAnsi" w:hAnsiTheme="minorHAnsi" w:cstheme="minorHAnsi"/>
        </w:rPr>
        <w:t xml:space="preserve"> strong, thriving civil society needs to meet the challenges of a rapidly changing world, through innovation and democratic principles. Sometimes the best assistance Government can provide is merely getting out of the way.</w:t>
      </w:r>
    </w:p>
    <w:p w:rsidR="00314074" w:rsidRPr="00F31004" w:rsidRDefault="00314074" w:rsidP="00314074">
      <w:pPr>
        <w:pStyle w:val="ListParagraph"/>
        <w:spacing w:before="120" w:after="120" w:line="240" w:lineRule="auto"/>
        <w:ind w:left="0"/>
        <w:contextualSpacing w:val="0"/>
        <w:rPr>
          <w:rFonts w:asciiTheme="minorHAnsi" w:hAnsiTheme="minorHAnsi" w:cstheme="minorHAnsi"/>
        </w:rPr>
      </w:pPr>
      <w:r w:rsidRPr="00F31004">
        <w:rPr>
          <w:rFonts w:asciiTheme="minorHAnsi" w:hAnsiTheme="minorHAnsi" w:cstheme="minorHAnsi"/>
        </w:rPr>
        <w:t xml:space="preserve">Government </w:t>
      </w:r>
      <w:r>
        <w:rPr>
          <w:rFonts w:asciiTheme="minorHAnsi" w:hAnsiTheme="minorHAnsi" w:cstheme="minorHAnsi"/>
        </w:rPr>
        <w:t xml:space="preserve">can </w:t>
      </w:r>
      <w:r w:rsidRPr="00F31004">
        <w:rPr>
          <w:rFonts w:asciiTheme="minorHAnsi" w:hAnsiTheme="minorHAnsi" w:cstheme="minorHAnsi"/>
        </w:rPr>
        <w:t xml:space="preserve">assist </w:t>
      </w:r>
      <w:r>
        <w:rPr>
          <w:rFonts w:asciiTheme="minorHAnsi" w:hAnsiTheme="minorHAnsi" w:cstheme="minorHAnsi"/>
        </w:rPr>
        <w:t xml:space="preserve">to build </w:t>
      </w:r>
      <w:r w:rsidRPr="00F31004">
        <w:rPr>
          <w:rFonts w:asciiTheme="minorHAnsi" w:hAnsiTheme="minorHAnsi" w:cstheme="minorHAnsi"/>
        </w:rPr>
        <w:t>the sector</w:t>
      </w:r>
      <w:r>
        <w:rPr>
          <w:rFonts w:asciiTheme="minorHAnsi" w:hAnsiTheme="minorHAnsi" w:cstheme="minorHAnsi"/>
        </w:rPr>
        <w:t xml:space="preserve">’s capacity </w:t>
      </w:r>
      <w:r w:rsidRPr="00F31004">
        <w:rPr>
          <w:rFonts w:asciiTheme="minorHAnsi" w:hAnsiTheme="minorHAnsi" w:cstheme="minorHAnsi"/>
        </w:rPr>
        <w:t xml:space="preserve">in other ways that is distinct from the </w:t>
      </w:r>
      <w:r>
        <w:rPr>
          <w:rFonts w:asciiTheme="minorHAnsi" w:hAnsiTheme="minorHAnsi" w:cstheme="minorHAnsi"/>
        </w:rPr>
        <w:t xml:space="preserve">ACNC’s </w:t>
      </w:r>
      <w:r w:rsidRPr="00F31004">
        <w:rPr>
          <w:rFonts w:asciiTheme="minorHAnsi" w:hAnsiTheme="minorHAnsi" w:cstheme="minorHAnsi"/>
        </w:rPr>
        <w:t>regulator role. This includes through for example:</w:t>
      </w:r>
    </w:p>
    <w:p w:rsidR="00314074" w:rsidRPr="00F31004" w:rsidRDefault="00314074" w:rsidP="00196C84">
      <w:pPr>
        <w:pStyle w:val="ListParagraph"/>
        <w:numPr>
          <w:ilvl w:val="0"/>
          <w:numId w:val="8"/>
        </w:numPr>
        <w:spacing w:before="120" w:after="120" w:line="240" w:lineRule="auto"/>
        <w:ind w:left="714" w:hanging="357"/>
        <w:contextualSpacing w:val="0"/>
        <w:rPr>
          <w:rFonts w:asciiTheme="minorHAnsi" w:hAnsiTheme="minorHAnsi" w:cstheme="minorHAnsi"/>
        </w:rPr>
      </w:pPr>
      <w:r w:rsidRPr="00F31004">
        <w:rPr>
          <w:rFonts w:asciiTheme="minorHAnsi" w:hAnsiTheme="minorHAnsi" w:cstheme="minorHAnsi"/>
        </w:rPr>
        <w:t xml:space="preserve">implementing </w:t>
      </w:r>
      <w:r>
        <w:rPr>
          <w:rFonts w:asciiTheme="minorHAnsi" w:hAnsiTheme="minorHAnsi" w:cstheme="minorHAnsi"/>
        </w:rPr>
        <w:t xml:space="preserve">the </w:t>
      </w:r>
      <w:r w:rsidRPr="00F31004">
        <w:rPr>
          <w:rFonts w:asciiTheme="minorHAnsi" w:hAnsiTheme="minorHAnsi" w:cstheme="minorHAnsi"/>
        </w:rPr>
        <w:t>P</w:t>
      </w:r>
      <w:r w:rsidR="00050476">
        <w:rPr>
          <w:rFonts w:asciiTheme="minorHAnsi" w:hAnsiTheme="minorHAnsi" w:cstheme="minorHAnsi"/>
        </w:rPr>
        <w:t xml:space="preserve">roductivity Commission Draft Inquiry into </w:t>
      </w:r>
      <w:r w:rsidRPr="00F31004">
        <w:rPr>
          <w:rFonts w:asciiTheme="minorHAnsi" w:hAnsiTheme="minorHAnsi" w:cstheme="minorHAnsi"/>
        </w:rPr>
        <w:t>Human Services</w:t>
      </w:r>
      <w:r w:rsidR="00050476">
        <w:rPr>
          <w:rFonts w:asciiTheme="minorHAnsi" w:hAnsiTheme="minorHAnsi" w:cstheme="minorHAnsi"/>
        </w:rPr>
        <w:t xml:space="preserve"> Report</w:t>
      </w:r>
      <w:r w:rsidR="00050476">
        <w:rPr>
          <w:rStyle w:val="FootnoteReference"/>
          <w:rFonts w:asciiTheme="minorHAnsi" w:hAnsiTheme="minorHAnsi" w:cstheme="minorHAnsi"/>
        </w:rPr>
        <w:footnoteReference w:id="22"/>
      </w:r>
      <w:r w:rsidR="00050476">
        <w:rPr>
          <w:rFonts w:asciiTheme="minorHAnsi" w:hAnsiTheme="minorHAnsi" w:cstheme="minorHAnsi"/>
        </w:rPr>
        <w:t xml:space="preserve"> </w:t>
      </w:r>
      <w:r w:rsidRPr="00F31004">
        <w:rPr>
          <w:rFonts w:asciiTheme="minorHAnsi" w:hAnsiTheme="minorHAnsi" w:cstheme="minorHAnsi"/>
        </w:rPr>
        <w:t xml:space="preserve">recommendations about extending </w:t>
      </w:r>
      <w:r>
        <w:rPr>
          <w:rFonts w:asciiTheme="minorHAnsi" w:hAnsiTheme="minorHAnsi" w:cstheme="minorHAnsi"/>
        </w:rPr>
        <w:t xml:space="preserve">funding </w:t>
      </w:r>
      <w:r w:rsidRPr="00F31004">
        <w:rPr>
          <w:rFonts w:asciiTheme="minorHAnsi" w:hAnsiTheme="minorHAnsi" w:cstheme="minorHAnsi"/>
        </w:rPr>
        <w:t>contract length</w:t>
      </w:r>
      <w:r>
        <w:rPr>
          <w:rFonts w:asciiTheme="minorHAnsi" w:hAnsiTheme="minorHAnsi" w:cstheme="minorHAnsi"/>
        </w:rPr>
        <w:t xml:space="preserve"> for service providers</w:t>
      </w:r>
    </w:p>
    <w:p w:rsidR="00314074" w:rsidRDefault="00314074" w:rsidP="00196C84">
      <w:pPr>
        <w:pStyle w:val="ListParagraph"/>
        <w:numPr>
          <w:ilvl w:val="0"/>
          <w:numId w:val="8"/>
        </w:numPr>
        <w:spacing w:before="120" w:after="120" w:line="240" w:lineRule="auto"/>
        <w:ind w:left="714" w:hanging="357"/>
        <w:contextualSpacing w:val="0"/>
        <w:rPr>
          <w:rFonts w:asciiTheme="minorHAnsi" w:hAnsiTheme="minorHAnsi" w:cstheme="minorHAnsi"/>
        </w:rPr>
      </w:pPr>
      <w:r>
        <w:rPr>
          <w:rFonts w:asciiTheme="minorHAnsi" w:hAnsiTheme="minorHAnsi" w:cstheme="minorHAnsi"/>
        </w:rPr>
        <w:t xml:space="preserve">stimulating social innovation and </w:t>
      </w:r>
      <w:r w:rsidRPr="00F31004">
        <w:rPr>
          <w:rFonts w:asciiTheme="minorHAnsi" w:hAnsiTheme="minorHAnsi" w:cstheme="minorHAnsi"/>
        </w:rPr>
        <w:t>incentivising new approaches in social impact investment and outcomes measurement</w:t>
      </w:r>
    </w:p>
    <w:p w:rsidR="00404FA4" w:rsidRPr="002A7CFD" w:rsidRDefault="00404FA4" w:rsidP="00404FA4">
      <w:pPr>
        <w:pStyle w:val="ListParagraph"/>
        <w:numPr>
          <w:ilvl w:val="0"/>
          <w:numId w:val="8"/>
        </w:numPr>
        <w:spacing w:before="120" w:after="120"/>
        <w:ind w:left="714" w:hanging="357"/>
        <w:contextualSpacing w:val="0"/>
        <w:rPr>
          <w:rFonts w:asciiTheme="minorHAnsi" w:hAnsiTheme="minorHAnsi" w:cstheme="minorHAnsi"/>
        </w:rPr>
      </w:pPr>
      <w:r w:rsidRPr="002A7CFD">
        <w:rPr>
          <w:rFonts w:asciiTheme="minorHAnsi" w:hAnsiTheme="minorHAnsi" w:cstheme="minorHAnsi"/>
        </w:rPr>
        <w:t xml:space="preserve">helping to implement a sector wide outcomes reporting framework that forms part of, or complements, the ACNC Annual Information Statement process and assists </w:t>
      </w:r>
      <w:r w:rsidR="00050476">
        <w:rPr>
          <w:rFonts w:asciiTheme="minorHAnsi" w:hAnsiTheme="minorHAnsi" w:cstheme="minorHAnsi"/>
        </w:rPr>
        <w:t>charities</w:t>
      </w:r>
      <w:r w:rsidRPr="002A7CFD">
        <w:rPr>
          <w:rFonts w:asciiTheme="minorHAnsi" w:hAnsiTheme="minorHAnsi" w:cstheme="minorHAnsi"/>
        </w:rPr>
        <w:t xml:space="preserve"> in demonstrating to donors and </w:t>
      </w:r>
      <w:r w:rsidR="00BE485B" w:rsidRPr="002A7CFD">
        <w:rPr>
          <w:rFonts w:asciiTheme="minorHAnsi" w:hAnsiTheme="minorHAnsi" w:cstheme="minorHAnsi"/>
        </w:rPr>
        <w:t>investors how they make an impact</w:t>
      </w:r>
      <w:r w:rsidR="00AE73D5" w:rsidRPr="002A7CFD">
        <w:rPr>
          <w:rFonts w:asciiTheme="minorHAnsi" w:hAnsiTheme="minorHAnsi" w:cstheme="minorHAnsi"/>
        </w:rPr>
        <w:t xml:space="preserve"> and their value</w:t>
      </w:r>
    </w:p>
    <w:p w:rsidR="00314074" w:rsidRDefault="00314074" w:rsidP="00196C84">
      <w:pPr>
        <w:pStyle w:val="ListParagraph"/>
        <w:numPr>
          <w:ilvl w:val="0"/>
          <w:numId w:val="8"/>
        </w:numPr>
        <w:spacing w:before="120" w:after="120" w:line="240" w:lineRule="auto"/>
        <w:ind w:left="714" w:hanging="357"/>
        <w:contextualSpacing w:val="0"/>
        <w:rPr>
          <w:rFonts w:asciiTheme="minorHAnsi" w:hAnsiTheme="minorHAnsi" w:cstheme="minorHAnsi"/>
        </w:rPr>
      </w:pPr>
      <w:r w:rsidRPr="00F31004">
        <w:rPr>
          <w:rFonts w:asciiTheme="minorHAnsi" w:hAnsiTheme="minorHAnsi" w:cstheme="minorHAnsi"/>
        </w:rPr>
        <w:t xml:space="preserve">removing barriers to </w:t>
      </w:r>
      <w:r>
        <w:rPr>
          <w:rFonts w:asciiTheme="minorHAnsi" w:hAnsiTheme="minorHAnsi" w:cstheme="minorHAnsi"/>
        </w:rPr>
        <w:t xml:space="preserve">NFPs and </w:t>
      </w:r>
      <w:r w:rsidRPr="00F31004">
        <w:rPr>
          <w:rFonts w:asciiTheme="minorHAnsi" w:hAnsiTheme="minorHAnsi" w:cstheme="minorHAnsi"/>
        </w:rPr>
        <w:t>social enterprises scaling for impact</w:t>
      </w:r>
      <w:r>
        <w:rPr>
          <w:rFonts w:asciiTheme="minorHAnsi" w:hAnsiTheme="minorHAnsi" w:cstheme="minorHAnsi"/>
        </w:rPr>
        <w:t xml:space="preserve"> </w:t>
      </w:r>
    </w:p>
    <w:p w:rsidR="00314074" w:rsidRPr="00F31004" w:rsidRDefault="00314074" w:rsidP="00196C84">
      <w:pPr>
        <w:pStyle w:val="ListParagraph"/>
        <w:numPr>
          <w:ilvl w:val="0"/>
          <w:numId w:val="8"/>
        </w:numPr>
        <w:spacing w:before="120" w:after="120" w:line="240" w:lineRule="auto"/>
        <w:ind w:left="714" w:hanging="357"/>
        <w:contextualSpacing w:val="0"/>
        <w:rPr>
          <w:rFonts w:asciiTheme="minorHAnsi" w:hAnsiTheme="minorHAnsi" w:cstheme="minorHAnsi"/>
        </w:rPr>
      </w:pPr>
      <w:r>
        <w:rPr>
          <w:rFonts w:asciiTheme="minorHAnsi" w:hAnsiTheme="minorHAnsi" w:cstheme="minorHAnsi"/>
        </w:rPr>
        <w:t xml:space="preserve">revisiting a model for establishment of a National Centre for Excellence </w:t>
      </w:r>
      <w:r w:rsidR="00013418">
        <w:rPr>
          <w:rFonts w:asciiTheme="minorHAnsi" w:hAnsiTheme="minorHAnsi" w:cstheme="minorHAnsi"/>
        </w:rPr>
        <w:t>as an aggregator, network facilitator, though</w:t>
      </w:r>
      <w:r w:rsidR="002A7CFD">
        <w:rPr>
          <w:rFonts w:asciiTheme="minorHAnsi" w:hAnsiTheme="minorHAnsi" w:cstheme="minorHAnsi"/>
        </w:rPr>
        <w:t>t</w:t>
      </w:r>
      <w:r w:rsidR="00013418">
        <w:rPr>
          <w:rFonts w:asciiTheme="minorHAnsi" w:hAnsiTheme="minorHAnsi" w:cstheme="minorHAnsi"/>
        </w:rPr>
        <w:t xml:space="preserve"> leader and catalyser </w:t>
      </w:r>
      <w:r w:rsidRPr="002A7CFD">
        <w:rPr>
          <w:rFonts w:asciiTheme="minorHAnsi" w:hAnsiTheme="minorHAnsi" w:cstheme="minorHAnsi"/>
        </w:rPr>
        <w:t xml:space="preserve">for </w:t>
      </w:r>
      <w:r w:rsidR="006C3A7D" w:rsidRPr="002A7CFD">
        <w:rPr>
          <w:rFonts w:asciiTheme="minorHAnsi" w:hAnsiTheme="minorHAnsi" w:cstheme="minorHAnsi"/>
        </w:rPr>
        <w:t>development of</w:t>
      </w:r>
      <w:r w:rsidR="006C3A7D">
        <w:rPr>
          <w:rFonts w:asciiTheme="minorHAnsi" w:hAnsiTheme="minorHAnsi" w:cstheme="minorHAnsi"/>
        </w:rPr>
        <w:t xml:space="preserve"> </w:t>
      </w:r>
      <w:r>
        <w:rPr>
          <w:rFonts w:asciiTheme="minorHAnsi" w:hAnsiTheme="minorHAnsi" w:cstheme="minorHAnsi"/>
        </w:rPr>
        <w:t xml:space="preserve">the </w:t>
      </w:r>
      <w:r w:rsidR="00050476">
        <w:rPr>
          <w:rFonts w:asciiTheme="minorHAnsi" w:hAnsiTheme="minorHAnsi" w:cstheme="minorHAnsi"/>
        </w:rPr>
        <w:t xml:space="preserve">charity sector and the broader </w:t>
      </w:r>
      <w:r w:rsidR="00013418">
        <w:rPr>
          <w:rFonts w:asciiTheme="minorHAnsi" w:hAnsiTheme="minorHAnsi" w:cstheme="minorHAnsi"/>
        </w:rPr>
        <w:t xml:space="preserve">NFP </w:t>
      </w:r>
      <w:r w:rsidR="00404FA4">
        <w:rPr>
          <w:rFonts w:asciiTheme="minorHAnsi" w:hAnsiTheme="minorHAnsi" w:cstheme="minorHAnsi"/>
        </w:rPr>
        <w:t>sector, and</w:t>
      </w:r>
      <w:r w:rsidR="00B72FB0">
        <w:rPr>
          <w:rFonts w:asciiTheme="minorHAnsi" w:hAnsiTheme="minorHAnsi" w:cstheme="minorHAnsi"/>
        </w:rPr>
        <w:t xml:space="preserve"> </w:t>
      </w:r>
    </w:p>
    <w:p w:rsidR="00404FA4" w:rsidRDefault="00314074" w:rsidP="00196C84">
      <w:pPr>
        <w:pStyle w:val="ListParagraph"/>
        <w:numPr>
          <w:ilvl w:val="0"/>
          <w:numId w:val="8"/>
        </w:numPr>
        <w:spacing w:before="120" w:after="120" w:line="240" w:lineRule="auto"/>
        <w:rPr>
          <w:rFonts w:asciiTheme="minorHAnsi" w:hAnsiTheme="minorHAnsi" w:cstheme="minorHAnsi"/>
        </w:rPr>
      </w:pPr>
      <w:r>
        <w:rPr>
          <w:rFonts w:asciiTheme="minorHAnsi" w:hAnsiTheme="minorHAnsi" w:cstheme="minorHAnsi"/>
        </w:rPr>
        <w:t xml:space="preserve">encouraging philanthropists and corporate givers to support innovation in the sector.  </w:t>
      </w:r>
      <w:r w:rsidRPr="000E19B6">
        <w:rPr>
          <w:rFonts w:asciiTheme="minorHAnsi" w:hAnsiTheme="minorHAnsi" w:cstheme="minorHAnsi"/>
        </w:rPr>
        <w:t xml:space="preserve">For example, </w:t>
      </w:r>
      <w:r w:rsidR="002A7CFD">
        <w:rPr>
          <w:rFonts w:asciiTheme="minorHAnsi" w:hAnsiTheme="minorHAnsi" w:cstheme="minorHAnsi"/>
        </w:rPr>
        <w:t>adoption o</w:t>
      </w:r>
      <w:r w:rsidRPr="000E19B6">
        <w:rPr>
          <w:rFonts w:asciiTheme="minorHAnsi" w:hAnsiTheme="minorHAnsi" w:cstheme="minorHAnsi"/>
        </w:rPr>
        <w:t xml:space="preserve">f Program Related Investments (PRI) </w:t>
      </w:r>
      <w:r w:rsidR="002A7CFD">
        <w:rPr>
          <w:rFonts w:asciiTheme="minorHAnsi" w:hAnsiTheme="minorHAnsi" w:cstheme="minorHAnsi"/>
        </w:rPr>
        <w:t>to achieve outcomes</w:t>
      </w:r>
      <w:r w:rsidRPr="000E19B6">
        <w:rPr>
          <w:rStyle w:val="FootnoteReference"/>
          <w:rFonts w:asciiTheme="minorHAnsi" w:hAnsiTheme="minorHAnsi" w:cstheme="minorHAnsi"/>
        </w:rPr>
        <w:footnoteReference w:id="23"/>
      </w:r>
      <w:r w:rsidR="00404FA4">
        <w:rPr>
          <w:rFonts w:asciiTheme="minorHAnsi" w:hAnsiTheme="minorHAnsi" w:cstheme="minorHAnsi"/>
        </w:rPr>
        <w:t>.</w:t>
      </w:r>
    </w:p>
    <w:p w:rsidR="00314074" w:rsidRPr="000E19B6" w:rsidRDefault="00314074" w:rsidP="008D19E2">
      <w:pPr>
        <w:pStyle w:val="ListParagraph"/>
        <w:spacing w:before="120" w:after="120" w:line="240" w:lineRule="auto"/>
        <w:rPr>
          <w:rFonts w:asciiTheme="minorHAnsi" w:hAnsiTheme="minorHAnsi" w:cstheme="minorHAnsi"/>
        </w:rPr>
      </w:pPr>
      <w:r w:rsidRPr="000E19B6">
        <w:rPr>
          <w:rFonts w:asciiTheme="minorHAnsi" w:hAnsiTheme="minorHAnsi" w:cstheme="minorHAnsi"/>
        </w:rPr>
        <w:t xml:space="preserve"> </w:t>
      </w:r>
    </w:p>
    <w:p w:rsidR="00314074" w:rsidRDefault="00997A54" w:rsidP="0013671B">
      <w:pPr>
        <w:pStyle w:val="ListParagraph"/>
        <w:spacing w:before="240" w:after="120" w:line="240" w:lineRule="auto"/>
        <w:ind w:left="0"/>
        <w:contextualSpacing w:val="0"/>
        <w:rPr>
          <w:rFonts w:asciiTheme="minorHAnsi" w:hAnsiTheme="minorHAnsi" w:cstheme="minorHAnsi"/>
          <w:b/>
          <w:i/>
        </w:rPr>
      </w:pPr>
      <w:r>
        <w:rPr>
          <w:rFonts w:asciiTheme="minorHAnsi" w:hAnsiTheme="minorHAnsi" w:cstheme="minorHAnsi"/>
          <w:b/>
          <w:i/>
        </w:rPr>
        <w:t xml:space="preserve">3.2 </w:t>
      </w:r>
      <w:r w:rsidR="002D5760">
        <w:rPr>
          <w:rFonts w:asciiTheme="minorHAnsi" w:hAnsiTheme="minorHAnsi" w:cstheme="minorHAnsi"/>
          <w:b/>
          <w:i/>
        </w:rPr>
        <w:t>Charit</w:t>
      </w:r>
      <w:r w:rsidR="00D47E7A">
        <w:rPr>
          <w:rFonts w:asciiTheme="minorHAnsi" w:hAnsiTheme="minorHAnsi" w:cstheme="minorHAnsi"/>
          <w:b/>
          <w:i/>
        </w:rPr>
        <w:t>y</w:t>
      </w:r>
      <w:r w:rsidR="002D5760">
        <w:rPr>
          <w:rFonts w:asciiTheme="minorHAnsi" w:hAnsiTheme="minorHAnsi" w:cstheme="minorHAnsi"/>
          <w:b/>
          <w:i/>
        </w:rPr>
        <w:t xml:space="preserve"> </w:t>
      </w:r>
      <w:r>
        <w:rPr>
          <w:rFonts w:asciiTheme="minorHAnsi" w:hAnsiTheme="minorHAnsi" w:cstheme="minorHAnsi"/>
          <w:b/>
          <w:i/>
        </w:rPr>
        <w:t>s</w:t>
      </w:r>
      <w:r w:rsidR="00314074">
        <w:rPr>
          <w:rFonts w:asciiTheme="minorHAnsi" w:hAnsiTheme="minorHAnsi" w:cstheme="minorHAnsi"/>
          <w:b/>
          <w:i/>
        </w:rPr>
        <w:t xml:space="preserve">ector </w:t>
      </w:r>
      <w:r>
        <w:rPr>
          <w:rFonts w:asciiTheme="minorHAnsi" w:hAnsiTheme="minorHAnsi" w:cstheme="minorHAnsi"/>
          <w:b/>
          <w:i/>
        </w:rPr>
        <w:t>financial status and revenue sources</w:t>
      </w:r>
    </w:p>
    <w:p w:rsidR="00314074" w:rsidRPr="00F31004" w:rsidRDefault="00314074" w:rsidP="00314074">
      <w:pPr>
        <w:spacing w:before="120" w:after="120" w:line="240" w:lineRule="auto"/>
        <w:rPr>
          <w:rFonts w:asciiTheme="minorHAnsi" w:hAnsiTheme="minorHAnsi" w:cstheme="minorHAnsi"/>
        </w:rPr>
      </w:pPr>
      <w:r w:rsidRPr="00F31004">
        <w:rPr>
          <w:rFonts w:asciiTheme="minorHAnsi" w:hAnsiTheme="minorHAnsi" w:cstheme="minorHAnsi"/>
        </w:rPr>
        <w:t xml:space="preserve">The Partnership notes the </w:t>
      </w:r>
      <w:r w:rsidRPr="00F31004">
        <w:rPr>
          <w:rFonts w:asciiTheme="minorHAnsi" w:hAnsiTheme="minorHAnsi" w:cstheme="minorHAnsi"/>
          <w:i/>
        </w:rPr>
        <w:t>ACNC 2016 Charity Report</w:t>
      </w:r>
      <w:r w:rsidRPr="00F31004">
        <w:rPr>
          <w:rFonts w:asciiTheme="minorHAnsi" w:hAnsiTheme="minorHAnsi" w:cstheme="minorHAnsi"/>
        </w:rPr>
        <w:t xml:space="preserve"> comment that, “While financial status indicators do not capture charity performance in achieving impact, in aggregate they offer a helpful indication of sector viability, stability and sustainability (ACNC, 2016), and can be used to explore differences in financial orientation and exposure to financial risk among different types of charities.”</w:t>
      </w:r>
    </w:p>
    <w:p w:rsidR="00314074" w:rsidRDefault="00314074" w:rsidP="00314074">
      <w:pPr>
        <w:spacing w:before="120" w:after="120" w:line="240" w:lineRule="auto"/>
        <w:rPr>
          <w:rFonts w:asciiTheme="minorHAnsi" w:hAnsiTheme="minorHAnsi" w:cstheme="minorHAnsi"/>
        </w:rPr>
      </w:pPr>
      <w:r w:rsidRPr="00F31004">
        <w:rPr>
          <w:rFonts w:asciiTheme="minorHAnsi" w:hAnsiTheme="minorHAnsi" w:cstheme="minorHAnsi"/>
        </w:rPr>
        <w:t xml:space="preserve">The Partnership notes that the </w:t>
      </w:r>
      <w:r w:rsidRPr="00F31004">
        <w:rPr>
          <w:rFonts w:asciiTheme="minorHAnsi" w:hAnsiTheme="minorHAnsi" w:cstheme="minorHAnsi"/>
          <w:i/>
        </w:rPr>
        <w:t>ACNC 2016 Charity Report</w:t>
      </w:r>
      <w:r w:rsidRPr="00F31004">
        <w:rPr>
          <w:rFonts w:asciiTheme="minorHAnsi" w:hAnsiTheme="minorHAnsi" w:cstheme="minorHAnsi"/>
        </w:rPr>
        <w:t xml:space="preserve"> considers the issue of revenue diversification of the sector and notes that, “Dependence on a narrow range of revenue sources can be a sign of financial vulnerability, and diversified revenues are usually seen as more flexible and sustainable.”  </w:t>
      </w:r>
    </w:p>
    <w:p w:rsidR="00314074" w:rsidRDefault="00314074" w:rsidP="00314074">
      <w:pPr>
        <w:spacing w:before="120" w:after="120" w:line="240" w:lineRule="auto"/>
        <w:rPr>
          <w:rFonts w:asciiTheme="minorHAnsi" w:hAnsiTheme="minorHAnsi" w:cstheme="minorHAnsi"/>
        </w:rPr>
      </w:pPr>
      <w:r>
        <w:rPr>
          <w:rFonts w:asciiTheme="minorHAnsi" w:hAnsiTheme="minorHAnsi" w:cstheme="minorHAnsi"/>
        </w:rPr>
        <w:t xml:space="preserve">The </w:t>
      </w:r>
      <w:r w:rsidRPr="00F31004">
        <w:rPr>
          <w:rFonts w:asciiTheme="minorHAnsi" w:hAnsiTheme="minorHAnsi" w:cstheme="minorHAnsi"/>
          <w:i/>
        </w:rPr>
        <w:t>ACNC 2016 Charity Report</w:t>
      </w:r>
      <w:r w:rsidRPr="00F31004">
        <w:rPr>
          <w:rFonts w:asciiTheme="minorHAnsi" w:hAnsiTheme="minorHAnsi" w:cstheme="minorHAnsi"/>
        </w:rPr>
        <w:t xml:space="preserve"> </w:t>
      </w:r>
      <w:r>
        <w:rPr>
          <w:rFonts w:asciiTheme="minorHAnsi" w:hAnsiTheme="minorHAnsi" w:cstheme="minorHAnsi"/>
        </w:rPr>
        <w:t>found t</w:t>
      </w:r>
      <w:r w:rsidRPr="00F31004">
        <w:rPr>
          <w:rFonts w:asciiTheme="minorHAnsi" w:hAnsiTheme="minorHAnsi" w:cstheme="minorHAnsi"/>
        </w:rPr>
        <w:t xml:space="preserve">hat, “Charities are diverse: there is no one-size-fits-all approach to financial performance or sustainability. It is highly dependent on individual charities’ strategy for achieving purpose and their operating context.  A charity’s financial status depends on a range of factors, including their purpose, strategy, funding environment, accounting policies, overheads and their wider operating context.” </w:t>
      </w:r>
    </w:p>
    <w:p w:rsidR="00D06CC3" w:rsidRPr="00D06CC3" w:rsidRDefault="00D06CC3" w:rsidP="00D06CC3">
      <w:pPr>
        <w:spacing w:before="120" w:after="120" w:line="240" w:lineRule="auto"/>
        <w:rPr>
          <w:rFonts w:asciiTheme="minorHAnsi" w:hAnsiTheme="minorHAnsi" w:cstheme="minorHAnsi"/>
        </w:rPr>
      </w:pPr>
      <w:r>
        <w:rPr>
          <w:rFonts w:asciiTheme="minorHAnsi" w:hAnsiTheme="minorHAnsi" w:cstheme="minorHAnsi"/>
        </w:rPr>
        <w:t>A charity’s financial r</w:t>
      </w:r>
      <w:r w:rsidRPr="00D06CC3">
        <w:rPr>
          <w:rFonts w:asciiTheme="minorHAnsi" w:hAnsiTheme="minorHAnsi" w:cstheme="minorHAnsi"/>
        </w:rPr>
        <w:t xml:space="preserve">eserves </w:t>
      </w:r>
      <w:r>
        <w:rPr>
          <w:rFonts w:asciiTheme="minorHAnsi" w:hAnsiTheme="minorHAnsi" w:cstheme="minorHAnsi"/>
        </w:rPr>
        <w:t xml:space="preserve">or equity </w:t>
      </w:r>
      <w:r w:rsidRPr="00D06CC3">
        <w:rPr>
          <w:rFonts w:asciiTheme="minorHAnsi" w:hAnsiTheme="minorHAnsi" w:cstheme="minorHAnsi"/>
        </w:rPr>
        <w:t>play</w:t>
      </w:r>
      <w:r>
        <w:rPr>
          <w:rFonts w:asciiTheme="minorHAnsi" w:hAnsiTheme="minorHAnsi" w:cstheme="minorHAnsi"/>
        </w:rPr>
        <w:t>s</w:t>
      </w:r>
      <w:r w:rsidRPr="00D06CC3">
        <w:rPr>
          <w:rFonts w:asciiTheme="minorHAnsi" w:hAnsiTheme="minorHAnsi" w:cstheme="minorHAnsi"/>
        </w:rPr>
        <w:t xml:space="preserve"> an important role in the</w:t>
      </w:r>
      <w:r>
        <w:rPr>
          <w:rFonts w:asciiTheme="minorHAnsi" w:hAnsiTheme="minorHAnsi" w:cstheme="minorHAnsi"/>
        </w:rPr>
        <w:t>ir</w:t>
      </w:r>
      <w:r w:rsidRPr="00D06CC3">
        <w:rPr>
          <w:rFonts w:asciiTheme="minorHAnsi" w:hAnsiTheme="minorHAnsi" w:cstheme="minorHAnsi"/>
        </w:rPr>
        <w:t xml:space="preserve"> financial stability and long-term sustainability</w:t>
      </w:r>
      <w:r>
        <w:rPr>
          <w:rStyle w:val="FootnoteReference"/>
          <w:rFonts w:asciiTheme="minorHAnsi" w:hAnsiTheme="minorHAnsi" w:cstheme="minorHAnsi"/>
        </w:rPr>
        <w:footnoteReference w:id="24"/>
      </w:r>
      <w:r>
        <w:rPr>
          <w:rFonts w:asciiTheme="minorHAnsi" w:hAnsiTheme="minorHAnsi" w:cstheme="minorHAnsi"/>
        </w:rPr>
        <w:t xml:space="preserve">.  </w:t>
      </w:r>
      <w:r w:rsidRPr="00D06CC3">
        <w:rPr>
          <w:rFonts w:asciiTheme="minorHAnsi" w:hAnsiTheme="minorHAnsi" w:cstheme="minorHAnsi"/>
        </w:rPr>
        <w:t>Managing reserves is an important aspect of the overall financial management of a charity</w:t>
      </w:r>
      <w:r>
        <w:rPr>
          <w:rFonts w:asciiTheme="minorHAnsi" w:hAnsiTheme="minorHAnsi" w:cstheme="minorHAnsi"/>
        </w:rPr>
        <w:t xml:space="preserve"> and a </w:t>
      </w:r>
      <w:r w:rsidRPr="00D06CC3">
        <w:rPr>
          <w:rFonts w:asciiTheme="minorHAnsi" w:hAnsiTheme="minorHAnsi" w:cstheme="minorHAnsi"/>
        </w:rPr>
        <w:t xml:space="preserve">crucial element of good charity governance. </w:t>
      </w:r>
      <w:r>
        <w:rPr>
          <w:rFonts w:asciiTheme="minorHAnsi" w:hAnsiTheme="minorHAnsi" w:cstheme="minorHAnsi"/>
        </w:rPr>
        <w:t xml:space="preserve">  C</w:t>
      </w:r>
      <w:r w:rsidRPr="00D06CC3">
        <w:rPr>
          <w:rFonts w:asciiTheme="minorHAnsi" w:hAnsiTheme="minorHAnsi" w:cstheme="minorHAnsi"/>
        </w:rPr>
        <w:t xml:space="preserve">harities </w:t>
      </w:r>
      <w:r>
        <w:rPr>
          <w:rFonts w:asciiTheme="minorHAnsi" w:hAnsiTheme="minorHAnsi" w:cstheme="minorHAnsi"/>
        </w:rPr>
        <w:t xml:space="preserve">should therefore </w:t>
      </w:r>
      <w:r w:rsidRPr="00D06CC3">
        <w:rPr>
          <w:rFonts w:asciiTheme="minorHAnsi" w:hAnsiTheme="minorHAnsi" w:cstheme="minorHAnsi"/>
        </w:rPr>
        <w:t>be encouraged to build financial stability via equity in their balance sheets</w:t>
      </w:r>
      <w:r>
        <w:rPr>
          <w:rFonts w:asciiTheme="minorHAnsi" w:hAnsiTheme="minorHAnsi" w:cstheme="minorHAnsi"/>
        </w:rPr>
        <w:t xml:space="preserve">.  </w:t>
      </w:r>
    </w:p>
    <w:p w:rsidR="00D06CC3" w:rsidRPr="00D06CC3" w:rsidRDefault="00D06CC3" w:rsidP="00D06CC3">
      <w:pPr>
        <w:spacing w:before="120" w:after="120" w:line="240" w:lineRule="auto"/>
        <w:rPr>
          <w:rFonts w:asciiTheme="minorHAnsi" w:hAnsiTheme="minorHAnsi" w:cstheme="minorHAnsi"/>
        </w:rPr>
      </w:pPr>
      <w:r w:rsidRPr="00D06CC3">
        <w:rPr>
          <w:rFonts w:asciiTheme="minorHAnsi" w:hAnsiTheme="minorHAnsi" w:cstheme="minorHAnsi"/>
        </w:rPr>
        <w:t>In line with good governance and proper risk management, a charity’s responsible persons (i.e. its board, committee, or governing body) should consider an appropriate level of reserves for its circumstances, as well as a strategy for building or spending its reserves in a way that is consistent with its purpose.</w:t>
      </w:r>
    </w:p>
    <w:p w:rsidR="00314074" w:rsidRDefault="00EB199A" w:rsidP="00314074">
      <w:pPr>
        <w:spacing w:before="120" w:after="120" w:line="240" w:lineRule="auto"/>
        <w:rPr>
          <w:rFonts w:asciiTheme="minorHAnsi" w:hAnsiTheme="minorHAnsi" w:cstheme="minorHAnsi"/>
        </w:rPr>
      </w:pPr>
      <w:r>
        <w:rPr>
          <w:rFonts w:asciiTheme="minorHAnsi" w:hAnsiTheme="minorHAnsi" w:cstheme="minorHAnsi"/>
        </w:rPr>
        <w:t xml:space="preserve">The </w:t>
      </w:r>
      <w:r w:rsidR="00314074" w:rsidRPr="00F31004">
        <w:rPr>
          <w:rFonts w:asciiTheme="minorHAnsi" w:hAnsiTheme="minorHAnsi" w:cstheme="minorHAnsi"/>
          <w:i/>
        </w:rPr>
        <w:t>ACNC 2016 Charity Report</w:t>
      </w:r>
      <w:r w:rsidR="00314074" w:rsidRPr="00F31004">
        <w:rPr>
          <w:rFonts w:asciiTheme="minorHAnsi" w:hAnsiTheme="minorHAnsi" w:cstheme="minorHAnsi"/>
        </w:rPr>
        <w:t xml:space="preserve"> note</w:t>
      </w:r>
      <w:r>
        <w:rPr>
          <w:rFonts w:asciiTheme="minorHAnsi" w:hAnsiTheme="minorHAnsi" w:cstheme="minorHAnsi"/>
        </w:rPr>
        <w:t>s</w:t>
      </w:r>
      <w:r w:rsidR="00314074" w:rsidRPr="00F31004">
        <w:rPr>
          <w:rFonts w:asciiTheme="minorHAnsi" w:hAnsiTheme="minorHAnsi" w:cstheme="minorHAnsi"/>
        </w:rPr>
        <w:t xml:space="preserve"> that there can </w:t>
      </w:r>
      <w:r>
        <w:rPr>
          <w:rFonts w:asciiTheme="minorHAnsi" w:hAnsiTheme="minorHAnsi" w:cstheme="minorHAnsi"/>
        </w:rPr>
        <w:t xml:space="preserve">however </w:t>
      </w:r>
      <w:r w:rsidR="00314074" w:rsidRPr="00F31004">
        <w:rPr>
          <w:rFonts w:asciiTheme="minorHAnsi" w:hAnsiTheme="minorHAnsi" w:cstheme="minorHAnsi"/>
        </w:rPr>
        <w:t>be short-comings of using revenue concentration as a marker of risk</w:t>
      </w:r>
      <w:r>
        <w:rPr>
          <w:rFonts w:asciiTheme="minorHAnsi" w:hAnsiTheme="minorHAnsi" w:cstheme="minorHAnsi"/>
        </w:rPr>
        <w:t xml:space="preserve">; </w:t>
      </w:r>
      <w:r w:rsidR="00314074" w:rsidRPr="00F31004">
        <w:rPr>
          <w:rFonts w:asciiTheme="minorHAnsi" w:hAnsiTheme="minorHAnsi" w:cstheme="minorHAnsi"/>
        </w:rPr>
        <w:t>revenue concentration</w:t>
      </w:r>
      <w:r>
        <w:rPr>
          <w:rFonts w:asciiTheme="minorHAnsi" w:hAnsiTheme="minorHAnsi" w:cstheme="minorHAnsi"/>
        </w:rPr>
        <w:t xml:space="preserve"> </w:t>
      </w:r>
      <w:r w:rsidR="00314074" w:rsidRPr="00F31004">
        <w:rPr>
          <w:rFonts w:asciiTheme="minorHAnsi" w:hAnsiTheme="minorHAnsi" w:cstheme="minorHAnsi"/>
        </w:rPr>
        <w:t xml:space="preserve">may be more desirable for some charities but not for others. It further notes that relatively little research </w:t>
      </w:r>
      <w:r w:rsidR="009F04E5">
        <w:rPr>
          <w:rFonts w:asciiTheme="minorHAnsi" w:hAnsiTheme="minorHAnsi" w:cstheme="minorHAnsi"/>
        </w:rPr>
        <w:t xml:space="preserve">has been done in Australia </w:t>
      </w:r>
      <w:r w:rsidR="00314074" w:rsidRPr="00F31004">
        <w:rPr>
          <w:rFonts w:asciiTheme="minorHAnsi" w:hAnsiTheme="minorHAnsi" w:cstheme="minorHAnsi"/>
        </w:rPr>
        <w:t xml:space="preserve">on </w:t>
      </w:r>
      <w:r>
        <w:rPr>
          <w:rFonts w:asciiTheme="minorHAnsi" w:hAnsiTheme="minorHAnsi" w:cstheme="minorHAnsi"/>
        </w:rPr>
        <w:t xml:space="preserve">charity </w:t>
      </w:r>
      <w:r w:rsidR="00314074" w:rsidRPr="00F31004">
        <w:rPr>
          <w:rFonts w:asciiTheme="minorHAnsi" w:hAnsiTheme="minorHAnsi" w:cstheme="minorHAnsi"/>
        </w:rPr>
        <w:t xml:space="preserve">revenue concentration </w:t>
      </w:r>
      <w:r w:rsidR="00314074">
        <w:rPr>
          <w:rFonts w:asciiTheme="minorHAnsi" w:hAnsiTheme="minorHAnsi" w:cstheme="minorHAnsi"/>
        </w:rPr>
        <w:t>and diversification</w:t>
      </w:r>
      <w:r w:rsidR="009F04E5">
        <w:rPr>
          <w:rFonts w:asciiTheme="minorHAnsi" w:hAnsiTheme="minorHAnsi" w:cstheme="minorHAnsi"/>
        </w:rPr>
        <w:t>.</w:t>
      </w:r>
    </w:p>
    <w:p w:rsidR="00FA2B96" w:rsidRDefault="00FA2B96" w:rsidP="00551597">
      <w:pPr>
        <w:spacing w:before="120" w:after="240" w:line="240" w:lineRule="auto"/>
        <w:rPr>
          <w:rFonts w:asciiTheme="minorHAnsi" w:hAnsiTheme="minorHAnsi" w:cstheme="minorHAnsi"/>
        </w:rPr>
      </w:pPr>
      <w:r>
        <w:rPr>
          <w:rFonts w:asciiTheme="minorHAnsi" w:hAnsiTheme="minorHAnsi" w:cstheme="minorHAnsi"/>
        </w:rPr>
        <w:t>T</w:t>
      </w:r>
      <w:r w:rsidRPr="00FA2B96">
        <w:rPr>
          <w:rFonts w:asciiTheme="minorHAnsi" w:hAnsiTheme="minorHAnsi" w:cstheme="minorHAnsi"/>
        </w:rPr>
        <w:t xml:space="preserve">he CCA report </w:t>
      </w:r>
      <w:r w:rsidRPr="00FA2B96">
        <w:rPr>
          <w:rFonts w:asciiTheme="minorHAnsi" w:hAnsiTheme="minorHAnsi" w:cstheme="minorHAnsi"/>
          <w:i/>
        </w:rPr>
        <w:t>Better Using Our Assets</w:t>
      </w:r>
      <w:r>
        <w:rPr>
          <w:rFonts w:asciiTheme="minorHAnsi" w:hAnsiTheme="minorHAnsi" w:cstheme="minorHAnsi"/>
          <w:i/>
        </w:rPr>
        <w:t xml:space="preserve"> </w:t>
      </w:r>
      <w:r w:rsidRPr="00FA2B96">
        <w:rPr>
          <w:rFonts w:asciiTheme="minorHAnsi" w:hAnsiTheme="minorHAnsi" w:cstheme="minorHAnsi"/>
        </w:rPr>
        <w:t xml:space="preserve">suggests that </w:t>
      </w:r>
      <w:r>
        <w:rPr>
          <w:rFonts w:asciiTheme="minorHAnsi" w:hAnsiTheme="minorHAnsi" w:cstheme="minorHAnsi"/>
        </w:rPr>
        <w:t xml:space="preserve">diversifying income streams and </w:t>
      </w:r>
      <w:r w:rsidR="00610CF9">
        <w:rPr>
          <w:rFonts w:asciiTheme="minorHAnsi" w:hAnsiTheme="minorHAnsi" w:cstheme="minorHAnsi"/>
        </w:rPr>
        <w:t xml:space="preserve">establishing income streams independent of government contracts is a valuable strategy to address funding vulnerability and secure an organisation’s future.   </w:t>
      </w:r>
      <w:r w:rsidR="009C0DC9">
        <w:rPr>
          <w:rFonts w:asciiTheme="minorHAnsi" w:hAnsiTheme="minorHAnsi" w:cstheme="minorHAnsi"/>
        </w:rPr>
        <w:t xml:space="preserve">It further suggests that an organisation’s Board has a critical role in change or innovation, and in risk management </w:t>
      </w:r>
      <w:r w:rsidR="004F0F09">
        <w:rPr>
          <w:rFonts w:asciiTheme="minorHAnsi" w:hAnsiTheme="minorHAnsi" w:cstheme="minorHAnsi"/>
        </w:rPr>
        <w:t xml:space="preserve">and/or oversight </w:t>
      </w:r>
      <w:r w:rsidR="009C0DC9">
        <w:rPr>
          <w:rFonts w:asciiTheme="minorHAnsi" w:hAnsiTheme="minorHAnsi" w:cstheme="minorHAnsi"/>
        </w:rPr>
        <w:t>related to generating new income streams or investments</w:t>
      </w:r>
      <w:r w:rsidR="008B0514">
        <w:rPr>
          <w:rFonts w:asciiTheme="minorHAnsi" w:hAnsiTheme="minorHAnsi" w:cstheme="minorHAnsi"/>
        </w:rPr>
        <w:t>.  A Board that is highly risk adverse to change or innovation can impede progress.</w:t>
      </w:r>
    </w:p>
    <w:p w:rsidR="0055424A" w:rsidRPr="00FA2B96" w:rsidRDefault="0055424A" w:rsidP="00551597">
      <w:pPr>
        <w:spacing w:before="120" w:after="240" w:line="240" w:lineRule="auto"/>
        <w:rPr>
          <w:rFonts w:asciiTheme="minorHAnsi" w:hAnsiTheme="minorHAnsi" w:cstheme="minorHAnsi"/>
        </w:rPr>
      </w:pPr>
      <w:r w:rsidRPr="0055424A">
        <w:rPr>
          <w:rFonts w:asciiTheme="minorHAnsi" w:hAnsiTheme="minorHAnsi" w:cstheme="minorHAnsi"/>
        </w:rPr>
        <w:t xml:space="preserve">The Partnership </w:t>
      </w:r>
      <w:r w:rsidR="000B4E38">
        <w:rPr>
          <w:rFonts w:asciiTheme="minorHAnsi" w:hAnsiTheme="minorHAnsi" w:cstheme="minorHAnsi"/>
        </w:rPr>
        <w:t xml:space="preserve">suggests </w:t>
      </w:r>
      <w:r w:rsidRPr="0055424A">
        <w:rPr>
          <w:rFonts w:asciiTheme="minorHAnsi" w:hAnsiTheme="minorHAnsi" w:cstheme="minorHAnsi"/>
        </w:rPr>
        <w:t xml:space="preserve">further research into the issue of </w:t>
      </w:r>
      <w:r w:rsidR="002D5760">
        <w:rPr>
          <w:rFonts w:asciiTheme="minorHAnsi" w:hAnsiTheme="minorHAnsi" w:cstheme="minorHAnsi"/>
        </w:rPr>
        <w:t>charit</w:t>
      </w:r>
      <w:r w:rsidR="00EB199A">
        <w:rPr>
          <w:rFonts w:asciiTheme="minorHAnsi" w:hAnsiTheme="minorHAnsi" w:cstheme="minorHAnsi"/>
        </w:rPr>
        <w:t xml:space="preserve">y </w:t>
      </w:r>
      <w:r w:rsidRPr="0055424A">
        <w:rPr>
          <w:rFonts w:asciiTheme="minorHAnsi" w:hAnsiTheme="minorHAnsi" w:cstheme="minorHAnsi"/>
        </w:rPr>
        <w:t>revenue concentration and diversification to better understand how this impacts financial viability, risk and sustainability.</w:t>
      </w:r>
    </w:p>
    <w:p w:rsidR="00D4595E" w:rsidRPr="00F31004" w:rsidRDefault="00997A54" w:rsidP="00551597">
      <w:pPr>
        <w:pStyle w:val="ListParagraph"/>
        <w:spacing w:before="240" w:after="120" w:line="240" w:lineRule="auto"/>
        <w:ind w:left="0"/>
        <w:contextualSpacing w:val="0"/>
        <w:rPr>
          <w:rFonts w:asciiTheme="minorHAnsi" w:hAnsiTheme="minorHAnsi" w:cstheme="minorHAnsi"/>
          <w:b/>
          <w:i/>
        </w:rPr>
      </w:pPr>
      <w:r>
        <w:rPr>
          <w:rFonts w:asciiTheme="minorHAnsi" w:hAnsiTheme="minorHAnsi" w:cstheme="minorHAnsi"/>
          <w:b/>
          <w:i/>
        </w:rPr>
        <w:t>3.3 Supporting and sustaining an innovative NFP sector</w:t>
      </w:r>
    </w:p>
    <w:p w:rsidR="006130EB" w:rsidRPr="0057157E" w:rsidRDefault="006130EB" w:rsidP="00286B96">
      <w:pPr>
        <w:spacing w:before="120" w:after="120" w:line="240" w:lineRule="auto"/>
        <w:rPr>
          <w:rFonts w:asciiTheme="minorHAnsi" w:hAnsiTheme="minorHAnsi" w:cstheme="minorHAnsi"/>
        </w:rPr>
      </w:pPr>
      <w:r w:rsidRPr="0057157E">
        <w:rPr>
          <w:rFonts w:asciiTheme="minorHAnsi" w:hAnsiTheme="minorHAnsi" w:cstheme="minorHAnsi"/>
        </w:rPr>
        <w:t>Available evidence</w:t>
      </w:r>
      <w:r w:rsidRPr="0057157E">
        <w:rPr>
          <w:rStyle w:val="FootnoteReference"/>
          <w:rFonts w:asciiTheme="minorHAnsi" w:hAnsiTheme="minorHAnsi" w:cstheme="minorHAnsi"/>
        </w:rPr>
        <w:footnoteReference w:id="25"/>
      </w:r>
      <w:r w:rsidRPr="0057157E">
        <w:rPr>
          <w:rFonts w:asciiTheme="minorHAnsi" w:hAnsiTheme="minorHAnsi" w:cstheme="minorHAnsi"/>
        </w:rPr>
        <w:t xml:space="preserve"> on the state of innovation in the NFP sector reveals that</w:t>
      </w:r>
      <w:r w:rsidR="00286B96" w:rsidRPr="0057157E">
        <w:rPr>
          <w:rFonts w:asciiTheme="minorHAnsi" w:hAnsiTheme="minorHAnsi" w:cstheme="minorHAnsi"/>
        </w:rPr>
        <w:t xml:space="preserve"> </w:t>
      </w:r>
      <w:r w:rsidRPr="0057157E">
        <w:rPr>
          <w:rFonts w:asciiTheme="minorHAnsi" w:hAnsiTheme="minorHAnsi" w:cstheme="minorHAnsi"/>
        </w:rPr>
        <w:t xml:space="preserve">the main driver for innovation in </w:t>
      </w:r>
      <w:r w:rsidR="00C7709C" w:rsidRPr="0057157E">
        <w:rPr>
          <w:rFonts w:asciiTheme="minorHAnsi" w:hAnsiTheme="minorHAnsi" w:cstheme="minorHAnsi"/>
        </w:rPr>
        <w:t xml:space="preserve">NFP organisations </w:t>
      </w:r>
      <w:r w:rsidR="001F41DF">
        <w:rPr>
          <w:rFonts w:asciiTheme="minorHAnsi" w:hAnsiTheme="minorHAnsi" w:cstheme="minorHAnsi"/>
        </w:rPr>
        <w:t>is</w:t>
      </w:r>
      <w:r w:rsidR="00286B96" w:rsidRPr="0057157E">
        <w:rPr>
          <w:rFonts w:asciiTheme="minorHAnsi" w:hAnsiTheme="minorHAnsi" w:cstheme="minorHAnsi"/>
        </w:rPr>
        <w:t xml:space="preserve"> </w:t>
      </w:r>
      <w:r w:rsidR="00C7709C" w:rsidRPr="0057157E">
        <w:rPr>
          <w:rFonts w:asciiTheme="minorHAnsi" w:hAnsiTheme="minorHAnsi" w:cstheme="minorHAnsi"/>
        </w:rPr>
        <w:t>its people</w:t>
      </w:r>
      <w:r w:rsidR="00D47E7A">
        <w:rPr>
          <w:rFonts w:asciiTheme="minorHAnsi" w:hAnsiTheme="minorHAnsi" w:cstheme="minorHAnsi"/>
        </w:rPr>
        <w:t xml:space="preserve">.  </w:t>
      </w:r>
      <w:r w:rsidR="00580E22">
        <w:rPr>
          <w:rFonts w:asciiTheme="minorHAnsi" w:hAnsiTheme="minorHAnsi" w:cstheme="minorHAnsi"/>
        </w:rPr>
        <w:t xml:space="preserve"> Their </w:t>
      </w:r>
      <w:r w:rsidR="00286B96" w:rsidRPr="0057157E">
        <w:rPr>
          <w:rFonts w:asciiTheme="minorHAnsi" w:hAnsiTheme="minorHAnsi" w:cstheme="minorHAnsi"/>
        </w:rPr>
        <w:t>strategic thinking skills and capabilities, a strong focus on networking, delivering outcomes and impacts, and influencing and driving change</w:t>
      </w:r>
      <w:r w:rsidR="001F4802">
        <w:rPr>
          <w:rFonts w:asciiTheme="minorHAnsi" w:hAnsiTheme="minorHAnsi" w:cstheme="minorHAnsi"/>
        </w:rPr>
        <w:t xml:space="preserve"> have underpinned the success and growth of the sector to date</w:t>
      </w:r>
      <w:r w:rsidR="00286B96" w:rsidRPr="0057157E">
        <w:rPr>
          <w:rFonts w:asciiTheme="minorHAnsi" w:hAnsiTheme="minorHAnsi" w:cstheme="minorHAnsi"/>
        </w:rPr>
        <w:t xml:space="preserve">.   </w:t>
      </w:r>
      <w:r w:rsidR="001F4802">
        <w:rPr>
          <w:rFonts w:asciiTheme="minorHAnsi" w:hAnsiTheme="minorHAnsi" w:cstheme="minorHAnsi"/>
        </w:rPr>
        <w:t>T</w:t>
      </w:r>
      <w:r w:rsidRPr="0057157E">
        <w:rPr>
          <w:rFonts w:asciiTheme="minorHAnsi" w:hAnsiTheme="minorHAnsi" w:cstheme="minorHAnsi"/>
        </w:rPr>
        <w:t xml:space="preserve">he main barriers identified by NFPs to innovation in the sector </w:t>
      </w:r>
      <w:r w:rsidR="001F4802">
        <w:rPr>
          <w:rFonts w:asciiTheme="minorHAnsi" w:hAnsiTheme="minorHAnsi" w:cstheme="minorHAnsi"/>
        </w:rPr>
        <w:t>include</w:t>
      </w:r>
      <w:r w:rsidRPr="0057157E">
        <w:rPr>
          <w:rFonts w:asciiTheme="minorHAnsi" w:hAnsiTheme="minorHAnsi" w:cstheme="minorHAnsi"/>
        </w:rPr>
        <w:t xml:space="preserve">: </w:t>
      </w:r>
      <w:r w:rsidR="00286B96" w:rsidRPr="0057157E">
        <w:rPr>
          <w:rFonts w:asciiTheme="minorHAnsi" w:hAnsiTheme="minorHAnsi" w:cstheme="minorHAnsi"/>
        </w:rPr>
        <w:t>a lack of funding, high implementation costs, Government regulation</w:t>
      </w:r>
      <w:r w:rsidR="00553C1E" w:rsidRPr="0057157E">
        <w:rPr>
          <w:rFonts w:asciiTheme="minorHAnsi" w:hAnsiTheme="minorHAnsi" w:cstheme="minorHAnsi"/>
        </w:rPr>
        <w:t xml:space="preserve"> and compliance, a lack of </w:t>
      </w:r>
      <w:r w:rsidRPr="0057157E">
        <w:rPr>
          <w:rFonts w:asciiTheme="minorHAnsi" w:hAnsiTheme="minorHAnsi" w:cstheme="minorHAnsi"/>
        </w:rPr>
        <w:t>necessary knowledge or skills</w:t>
      </w:r>
      <w:r w:rsidR="00553C1E" w:rsidRPr="0057157E">
        <w:rPr>
          <w:rFonts w:asciiTheme="minorHAnsi" w:hAnsiTheme="minorHAnsi" w:cstheme="minorHAnsi"/>
        </w:rPr>
        <w:t>, lack</w:t>
      </w:r>
      <w:r w:rsidR="00D47E7A">
        <w:rPr>
          <w:rFonts w:asciiTheme="minorHAnsi" w:hAnsiTheme="minorHAnsi" w:cstheme="minorHAnsi"/>
        </w:rPr>
        <w:t xml:space="preserve"> of a</w:t>
      </w:r>
      <w:r w:rsidRPr="0057157E">
        <w:rPr>
          <w:rFonts w:asciiTheme="minorHAnsi" w:hAnsiTheme="minorHAnsi" w:cstheme="minorHAnsi"/>
        </w:rPr>
        <w:t xml:space="preserve"> clear innovation strategy</w:t>
      </w:r>
      <w:r w:rsidR="00553C1E" w:rsidRPr="0057157E">
        <w:rPr>
          <w:rFonts w:asciiTheme="minorHAnsi" w:hAnsiTheme="minorHAnsi" w:cstheme="minorHAnsi"/>
        </w:rPr>
        <w:t>, l</w:t>
      </w:r>
      <w:r w:rsidRPr="0057157E">
        <w:rPr>
          <w:rFonts w:asciiTheme="minorHAnsi" w:hAnsiTheme="minorHAnsi" w:cstheme="minorHAnsi"/>
        </w:rPr>
        <w:t xml:space="preserve">ack of senior leadership </w:t>
      </w:r>
      <w:r w:rsidR="00553C1E" w:rsidRPr="0057157E">
        <w:rPr>
          <w:rFonts w:asciiTheme="minorHAnsi" w:hAnsiTheme="minorHAnsi" w:cstheme="minorHAnsi"/>
        </w:rPr>
        <w:t xml:space="preserve">or </w:t>
      </w:r>
      <w:r w:rsidRPr="0057157E">
        <w:rPr>
          <w:rFonts w:asciiTheme="minorHAnsi" w:hAnsiTheme="minorHAnsi" w:cstheme="minorHAnsi"/>
        </w:rPr>
        <w:t>vision</w:t>
      </w:r>
      <w:r w:rsidR="00D47E7A">
        <w:rPr>
          <w:rFonts w:asciiTheme="minorHAnsi" w:hAnsiTheme="minorHAnsi" w:cstheme="minorHAnsi"/>
        </w:rPr>
        <w:t>,</w:t>
      </w:r>
      <w:r w:rsidRPr="0057157E">
        <w:rPr>
          <w:rFonts w:asciiTheme="minorHAnsi" w:hAnsiTheme="minorHAnsi" w:cstheme="minorHAnsi"/>
        </w:rPr>
        <w:t xml:space="preserve"> and </w:t>
      </w:r>
      <w:r w:rsidR="00553C1E" w:rsidRPr="0057157E">
        <w:rPr>
          <w:rFonts w:asciiTheme="minorHAnsi" w:hAnsiTheme="minorHAnsi" w:cstheme="minorHAnsi"/>
        </w:rPr>
        <w:t>a r</w:t>
      </w:r>
      <w:r w:rsidRPr="0057157E">
        <w:rPr>
          <w:rFonts w:asciiTheme="minorHAnsi" w:hAnsiTheme="minorHAnsi" w:cstheme="minorHAnsi"/>
        </w:rPr>
        <w:t>isk a</w:t>
      </w:r>
      <w:r w:rsidR="001F4802">
        <w:rPr>
          <w:rFonts w:asciiTheme="minorHAnsi" w:hAnsiTheme="minorHAnsi" w:cstheme="minorHAnsi"/>
        </w:rPr>
        <w:t>d</w:t>
      </w:r>
      <w:r w:rsidRPr="0057157E">
        <w:rPr>
          <w:rFonts w:asciiTheme="minorHAnsi" w:hAnsiTheme="minorHAnsi" w:cstheme="minorHAnsi"/>
        </w:rPr>
        <w:t>verse management or culture.</w:t>
      </w:r>
    </w:p>
    <w:p w:rsidR="006130EB" w:rsidRDefault="006130EB" w:rsidP="006130EB">
      <w:pPr>
        <w:spacing w:before="120" w:after="120" w:line="240" w:lineRule="auto"/>
        <w:rPr>
          <w:rFonts w:asciiTheme="minorHAnsi" w:hAnsiTheme="minorHAnsi" w:cstheme="minorHAnsi"/>
        </w:rPr>
      </w:pPr>
      <w:r w:rsidRPr="0057157E">
        <w:rPr>
          <w:rFonts w:asciiTheme="minorHAnsi" w:hAnsiTheme="minorHAnsi" w:cstheme="minorHAnsi"/>
        </w:rPr>
        <w:t xml:space="preserve">The Partnership considers that while innovation in the sector can best </w:t>
      </w:r>
      <w:r w:rsidR="00E04CBD">
        <w:rPr>
          <w:rFonts w:asciiTheme="minorHAnsi" w:hAnsiTheme="minorHAnsi" w:cstheme="minorHAnsi"/>
        </w:rPr>
        <w:t xml:space="preserve">be </w:t>
      </w:r>
      <w:r w:rsidRPr="0057157E">
        <w:rPr>
          <w:rFonts w:asciiTheme="minorHAnsi" w:hAnsiTheme="minorHAnsi" w:cstheme="minorHAnsi"/>
        </w:rPr>
        <w:t>achieved by the sector itself</w:t>
      </w:r>
      <w:r w:rsidR="003E6402">
        <w:rPr>
          <w:rFonts w:asciiTheme="minorHAnsi" w:hAnsiTheme="minorHAnsi" w:cstheme="minorHAnsi"/>
        </w:rPr>
        <w:t>,</w:t>
      </w:r>
      <w:r w:rsidR="00726F09">
        <w:rPr>
          <w:rFonts w:asciiTheme="minorHAnsi" w:hAnsiTheme="minorHAnsi" w:cstheme="minorHAnsi"/>
        </w:rPr>
        <w:t xml:space="preserve"> the ACNC’s role should </w:t>
      </w:r>
      <w:r w:rsidRPr="0057157E">
        <w:rPr>
          <w:rFonts w:asciiTheme="minorHAnsi" w:hAnsiTheme="minorHAnsi" w:cstheme="minorHAnsi"/>
        </w:rPr>
        <w:t>be to ensure its’ regulatory framework does not impose undue restrictions on the flexibility and independence of the sector to take risks to innovate.</w:t>
      </w:r>
    </w:p>
    <w:p w:rsidR="00726F09" w:rsidRDefault="00A1192C" w:rsidP="00A1192C">
      <w:pPr>
        <w:spacing w:before="120" w:after="120" w:line="240" w:lineRule="auto"/>
        <w:rPr>
          <w:rFonts w:asciiTheme="minorHAnsi" w:hAnsiTheme="minorHAnsi" w:cstheme="minorHAnsi"/>
        </w:rPr>
      </w:pPr>
      <w:r w:rsidRPr="00D47E7A">
        <w:rPr>
          <w:rFonts w:asciiTheme="minorHAnsi" w:hAnsiTheme="minorHAnsi" w:cstheme="minorHAnsi"/>
        </w:rPr>
        <w:t>The Partnership considers support</w:t>
      </w:r>
      <w:r w:rsidR="006130EB" w:rsidRPr="00D47E7A">
        <w:rPr>
          <w:rFonts w:asciiTheme="minorHAnsi" w:hAnsiTheme="minorHAnsi" w:cstheme="minorHAnsi"/>
        </w:rPr>
        <w:t>ing</w:t>
      </w:r>
      <w:r w:rsidRPr="00D47E7A">
        <w:rPr>
          <w:rFonts w:asciiTheme="minorHAnsi" w:hAnsiTheme="minorHAnsi" w:cstheme="minorHAnsi"/>
        </w:rPr>
        <w:t xml:space="preserve"> and sustaining an innovative Australian NFP sector </w:t>
      </w:r>
      <w:r w:rsidR="00726F09">
        <w:rPr>
          <w:rFonts w:asciiTheme="minorHAnsi" w:hAnsiTheme="minorHAnsi" w:cstheme="minorHAnsi"/>
        </w:rPr>
        <w:t xml:space="preserve">should be </w:t>
      </w:r>
      <w:r w:rsidRPr="00D47E7A">
        <w:rPr>
          <w:rFonts w:asciiTheme="minorHAnsi" w:hAnsiTheme="minorHAnsi" w:cstheme="minorHAnsi"/>
        </w:rPr>
        <w:t>a high priority</w:t>
      </w:r>
      <w:r w:rsidR="00D47E7A" w:rsidRPr="00D47E7A">
        <w:rPr>
          <w:rFonts w:asciiTheme="minorHAnsi" w:hAnsiTheme="minorHAnsi" w:cstheme="minorHAnsi"/>
        </w:rPr>
        <w:t xml:space="preserve"> </w:t>
      </w:r>
      <w:r w:rsidR="00726F09" w:rsidRPr="00726F09">
        <w:rPr>
          <w:rFonts w:asciiTheme="minorHAnsi" w:hAnsiTheme="minorHAnsi" w:cstheme="minorHAnsi"/>
        </w:rPr>
        <w:t>but the ACNC should consider itself a facilitator, and encourage the sector itself to step up to drive sustainability and innovation.</w:t>
      </w:r>
    </w:p>
    <w:p w:rsidR="009C0102" w:rsidRPr="0057157E" w:rsidRDefault="009C0102" w:rsidP="009C0102">
      <w:pPr>
        <w:spacing w:before="120" w:after="120" w:line="240" w:lineRule="auto"/>
        <w:rPr>
          <w:rFonts w:asciiTheme="minorHAnsi" w:hAnsiTheme="minorHAnsi" w:cstheme="minorHAnsi"/>
        </w:rPr>
      </w:pPr>
      <w:r w:rsidRPr="0057157E">
        <w:rPr>
          <w:rFonts w:asciiTheme="minorHAnsi" w:hAnsiTheme="minorHAnsi" w:cstheme="minorHAnsi"/>
        </w:rPr>
        <w:t xml:space="preserve">The Partnership considers that the role of the ACNC relative to this objective should </w:t>
      </w:r>
      <w:r>
        <w:rPr>
          <w:rFonts w:asciiTheme="minorHAnsi" w:hAnsiTheme="minorHAnsi" w:cstheme="minorHAnsi"/>
        </w:rPr>
        <w:t xml:space="preserve">be </w:t>
      </w:r>
      <w:r w:rsidRPr="0057157E">
        <w:rPr>
          <w:rFonts w:asciiTheme="minorHAnsi" w:hAnsiTheme="minorHAnsi" w:cstheme="minorHAnsi"/>
        </w:rPr>
        <w:t>carefully reviewed, including the ongoing relevance of Object 2 in i</w:t>
      </w:r>
      <w:r>
        <w:rPr>
          <w:rFonts w:asciiTheme="minorHAnsi" w:hAnsiTheme="minorHAnsi" w:cstheme="minorHAnsi"/>
        </w:rPr>
        <w:t>t</w:t>
      </w:r>
      <w:r w:rsidRPr="0057157E">
        <w:rPr>
          <w:rFonts w:asciiTheme="minorHAnsi" w:hAnsiTheme="minorHAnsi" w:cstheme="minorHAnsi"/>
        </w:rPr>
        <w:t xml:space="preserve">s </w:t>
      </w:r>
      <w:r>
        <w:rPr>
          <w:rFonts w:asciiTheme="minorHAnsi" w:hAnsiTheme="minorHAnsi" w:cstheme="minorHAnsi"/>
        </w:rPr>
        <w:t xml:space="preserve">current </w:t>
      </w:r>
      <w:r w:rsidRPr="0057157E">
        <w:rPr>
          <w:rFonts w:asciiTheme="minorHAnsi" w:hAnsiTheme="minorHAnsi" w:cstheme="minorHAnsi"/>
        </w:rPr>
        <w:t>form and its possible amendment or removal.</w:t>
      </w:r>
    </w:p>
    <w:p w:rsidR="00A1192C" w:rsidRPr="0057157E" w:rsidRDefault="00A1192C" w:rsidP="00A1192C">
      <w:pPr>
        <w:spacing w:before="120" w:after="120" w:line="240" w:lineRule="auto"/>
        <w:rPr>
          <w:rFonts w:asciiTheme="minorHAnsi" w:hAnsiTheme="minorHAnsi" w:cstheme="minorHAnsi"/>
        </w:rPr>
      </w:pPr>
      <w:r w:rsidRPr="00D47E7A">
        <w:rPr>
          <w:rFonts w:asciiTheme="minorHAnsi" w:hAnsiTheme="minorHAnsi" w:cstheme="minorHAnsi"/>
        </w:rPr>
        <w:t xml:space="preserve">The ACNC can best play a </w:t>
      </w:r>
      <w:r w:rsidR="00472970" w:rsidRPr="00D47E7A">
        <w:rPr>
          <w:rFonts w:asciiTheme="minorHAnsi" w:hAnsiTheme="minorHAnsi" w:cstheme="minorHAnsi"/>
        </w:rPr>
        <w:t xml:space="preserve">facilitating or </w:t>
      </w:r>
      <w:r w:rsidRPr="00D47E7A">
        <w:rPr>
          <w:rFonts w:asciiTheme="minorHAnsi" w:hAnsiTheme="minorHAnsi" w:cstheme="minorHAnsi"/>
        </w:rPr>
        <w:t>catalytic role by continuing to build the evidence base</w:t>
      </w:r>
      <w:r w:rsidR="006130EB" w:rsidRPr="00D47E7A">
        <w:rPr>
          <w:rFonts w:asciiTheme="minorHAnsi" w:hAnsiTheme="minorHAnsi" w:cstheme="minorHAnsi"/>
        </w:rPr>
        <w:t xml:space="preserve"> for the sector</w:t>
      </w:r>
      <w:r w:rsidRPr="00D47E7A">
        <w:rPr>
          <w:rFonts w:asciiTheme="minorHAnsi" w:hAnsiTheme="minorHAnsi" w:cstheme="minorHAnsi"/>
        </w:rPr>
        <w:t>, drawing on the richness of its data on charities and further developing its data driven analysis and analytics to inform</w:t>
      </w:r>
      <w:r w:rsidR="00D47E7A">
        <w:rPr>
          <w:rFonts w:asciiTheme="minorHAnsi" w:hAnsiTheme="minorHAnsi" w:cstheme="minorHAnsi"/>
        </w:rPr>
        <w:t xml:space="preserve">, educate </w:t>
      </w:r>
      <w:r w:rsidRPr="00D47E7A">
        <w:rPr>
          <w:rFonts w:asciiTheme="minorHAnsi" w:hAnsiTheme="minorHAnsi" w:cstheme="minorHAnsi"/>
        </w:rPr>
        <w:t>and advise the sector</w:t>
      </w:r>
      <w:r w:rsidR="00B35C95" w:rsidRPr="00D47E7A">
        <w:rPr>
          <w:rFonts w:asciiTheme="minorHAnsi" w:hAnsiTheme="minorHAnsi" w:cstheme="minorHAnsi"/>
        </w:rPr>
        <w:t>, as well as informing potential donors and philanthropists</w:t>
      </w:r>
      <w:r w:rsidR="00784273" w:rsidRPr="00D47E7A">
        <w:rPr>
          <w:rFonts w:asciiTheme="minorHAnsi" w:hAnsiTheme="minorHAnsi" w:cstheme="minorHAnsi"/>
        </w:rPr>
        <w:t>, and the general public</w:t>
      </w:r>
      <w:r w:rsidRPr="00D47E7A">
        <w:rPr>
          <w:rFonts w:asciiTheme="minorHAnsi" w:hAnsiTheme="minorHAnsi" w:cstheme="minorHAnsi"/>
        </w:rPr>
        <w:t>.</w:t>
      </w:r>
    </w:p>
    <w:p w:rsidR="00762540" w:rsidRDefault="00762540" w:rsidP="00762540">
      <w:pPr>
        <w:spacing w:before="120" w:after="120" w:line="240" w:lineRule="auto"/>
        <w:rPr>
          <w:rFonts w:asciiTheme="minorHAnsi" w:hAnsiTheme="minorHAnsi" w:cstheme="minorHAnsi"/>
        </w:rPr>
      </w:pPr>
      <w:r w:rsidRPr="0057157E">
        <w:rPr>
          <w:rFonts w:asciiTheme="minorHAnsi" w:hAnsiTheme="minorHAnsi" w:cstheme="minorHAnsi"/>
        </w:rPr>
        <w:t xml:space="preserve">The ACNC could look to leverage its </w:t>
      </w:r>
      <w:r w:rsidR="008D24E0" w:rsidRPr="0057157E">
        <w:rPr>
          <w:rFonts w:asciiTheme="minorHAnsi" w:hAnsiTheme="minorHAnsi" w:cstheme="minorHAnsi"/>
        </w:rPr>
        <w:t xml:space="preserve">unique </w:t>
      </w:r>
      <w:r w:rsidRPr="0057157E">
        <w:rPr>
          <w:rFonts w:asciiTheme="minorHAnsi" w:hAnsiTheme="minorHAnsi" w:cstheme="minorHAnsi"/>
        </w:rPr>
        <w:t xml:space="preserve">position </w:t>
      </w:r>
      <w:r w:rsidR="008D24E0" w:rsidRPr="0057157E">
        <w:rPr>
          <w:rFonts w:asciiTheme="minorHAnsi" w:hAnsiTheme="minorHAnsi" w:cstheme="minorHAnsi"/>
        </w:rPr>
        <w:t xml:space="preserve">as </w:t>
      </w:r>
      <w:r w:rsidR="00ED3D05" w:rsidRPr="0057157E">
        <w:rPr>
          <w:rFonts w:asciiTheme="minorHAnsi" w:hAnsiTheme="minorHAnsi" w:cstheme="minorHAnsi"/>
        </w:rPr>
        <w:t xml:space="preserve">the national </w:t>
      </w:r>
      <w:r w:rsidR="008D24E0" w:rsidRPr="0057157E">
        <w:rPr>
          <w:rFonts w:asciiTheme="minorHAnsi" w:hAnsiTheme="minorHAnsi" w:cstheme="minorHAnsi"/>
        </w:rPr>
        <w:t xml:space="preserve">regulator </w:t>
      </w:r>
      <w:r w:rsidRPr="0057157E">
        <w:rPr>
          <w:rFonts w:asciiTheme="minorHAnsi" w:hAnsiTheme="minorHAnsi" w:cstheme="minorHAnsi"/>
        </w:rPr>
        <w:t>by entering into strategic alliances with sec</w:t>
      </w:r>
      <w:r w:rsidR="00ED3D05" w:rsidRPr="0057157E">
        <w:rPr>
          <w:rFonts w:asciiTheme="minorHAnsi" w:hAnsiTheme="minorHAnsi" w:cstheme="minorHAnsi"/>
        </w:rPr>
        <w:t xml:space="preserve">tor peak bodies and experts </w:t>
      </w:r>
      <w:r w:rsidR="00ED3D05" w:rsidRPr="00D47E7A">
        <w:rPr>
          <w:rFonts w:asciiTheme="minorHAnsi" w:hAnsiTheme="minorHAnsi" w:cstheme="minorHAnsi"/>
        </w:rPr>
        <w:t xml:space="preserve">to </w:t>
      </w:r>
      <w:r w:rsidR="00472970" w:rsidRPr="00D47E7A">
        <w:rPr>
          <w:rFonts w:asciiTheme="minorHAnsi" w:hAnsiTheme="minorHAnsi" w:cstheme="minorHAnsi"/>
        </w:rPr>
        <w:t>encourage</w:t>
      </w:r>
      <w:r w:rsidR="00472970">
        <w:rPr>
          <w:rFonts w:asciiTheme="minorHAnsi" w:hAnsiTheme="minorHAnsi" w:cstheme="minorHAnsi"/>
        </w:rPr>
        <w:t xml:space="preserve"> </w:t>
      </w:r>
      <w:r w:rsidR="00ED3D05" w:rsidRPr="0057157E">
        <w:rPr>
          <w:rFonts w:asciiTheme="minorHAnsi" w:hAnsiTheme="minorHAnsi" w:cstheme="minorHAnsi"/>
        </w:rPr>
        <w:t xml:space="preserve">sector </w:t>
      </w:r>
      <w:r w:rsidRPr="0057157E">
        <w:rPr>
          <w:rFonts w:asciiTheme="minorHAnsi" w:hAnsiTheme="minorHAnsi" w:cstheme="minorHAnsi"/>
        </w:rPr>
        <w:t>innovation through show</w:t>
      </w:r>
      <w:r w:rsidR="000B218A">
        <w:rPr>
          <w:rFonts w:asciiTheme="minorHAnsi" w:hAnsiTheme="minorHAnsi" w:cstheme="minorHAnsi"/>
        </w:rPr>
        <w:t xml:space="preserve"> </w:t>
      </w:r>
      <w:r w:rsidRPr="0057157E">
        <w:rPr>
          <w:rFonts w:asciiTheme="minorHAnsi" w:hAnsiTheme="minorHAnsi" w:cstheme="minorHAnsi"/>
        </w:rPr>
        <w:t xml:space="preserve">casing </w:t>
      </w:r>
      <w:r w:rsidR="008D24E0" w:rsidRPr="0057157E">
        <w:rPr>
          <w:rFonts w:asciiTheme="minorHAnsi" w:hAnsiTheme="minorHAnsi" w:cstheme="minorHAnsi"/>
        </w:rPr>
        <w:t xml:space="preserve">research on innovation and </w:t>
      </w:r>
      <w:r w:rsidRPr="0057157E">
        <w:rPr>
          <w:rFonts w:asciiTheme="minorHAnsi" w:hAnsiTheme="minorHAnsi" w:cstheme="minorHAnsi"/>
        </w:rPr>
        <w:t>best practice.</w:t>
      </w:r>
      <w:r>
        <w:rPr>
          <w:rFonts w:asciiTheme="minorHAnsi" w:hAnsiTheme="minorHAnsi" w:cstheme="minorHAnsi"/>
        </w:rPr>
        <w:t xml:space="preserve"> </w:t>
      </w:r>
    </w:p>
    <w:p w:rsidR="003C24D4" w:rsidRPr="006D4153" w:rsidRDefault="00E97B0F" w:rsidP="00B476FB">
      <w:pPr>
        <w:spacing w:before="240" w:after="240" w:line="240" w:lineRule="auto"/>
        <w:rPr>
          <w:rFonts w:asciiTheme="minorHAnsi" w:eastAsia="Times New Roman" w:hAnsiTheme="minorHAnsi" w:cs="Times New Roman"/>
          <w:b/>
          <w:color w:val="000000" w:themeColor="text1"/>
          <w:szCs w:val="20"/>
          <w:lang w:eastAsia="en-AU"/>
        </w:rPr>
      </w:pPr>
      <w:r>
        <w:rPr>
          <w:rFonts w:asciiTheme="minorHAnsi" w:hAnsiTheme="minorHAnsi" w:cstheme="minorHAnsi"/>
          <w:b/>
          <w:sz w:val="24"/>
          <w:szCs w:val="24"/>
          <w:u w:val="single"/>
        </w:rPr>
        <w:t xml:space="preserve">4. </w:t>
      </w:r>
      <w:r w:rsidR="003C24D4" w:rsidRPr="006D4153">
        <w:rPr>
          <w:rFonts w:asciiTheme="minorHAnsi" w:hAnsiTheme="minorHAnsi" w:cstheme="minorHAnsi"/>
          <w:b/>
          <w:sz w:val="24"/>
          <w:szCs w:val="24"/>
          <w:u w:val="single"/>
        </w:rPr>
        <w:t>Object 3: Promote the reduction of unnecessary regulatory obligations on the Au</w:t>
      </w:r>
      <w:r w:rsidR="006D4153">
        <w:rPr>
          <w:rFonts w:asciiTheme="minorHAnsi" w:hAnsiTheme="minorHAnsi" w:cstheme="minorHAnsi"/>
          <w:b/>
          <w:sz w:val="24"/>
          <w:szCs w:val="24"/>
          <w:u w:val="single"/>
        </w:rPr>
        <w:t xml:space="preserve">stralian </w:t>
      </w:r>
      <w:r w:rsidR="009644CD">
        <w:rPr>
          <w:rFonts w:asciiTheme="minorHAnsi" w:hAnsiTheme="minorHAnsi" w:cstheme="minorHAnsi"/>
          <w:b/>
          <w:sz w:val="24"/>
          <w:szCs w:val="24"/>
          <w:u w:val="single"/>
        </w:rPr>
        <w:t xml:space="preserve">NFP </w:t>
      </w:r>
      <w:r w:rsidR="006D4153">
        <w:rPr>
          <w:rFonts w:asciiTheme="minorHAnsi" w:hAnsiTheme="minorHAnsi" w:cstheme="minorHAnsi"/>
          <w:b/>
          <w:sz w:val="24"/>
          <w:szCs w:val="24"/>
          <w:u w:val="single"/>
        </w:rPr>
        <w:t>sector</w:t>
      </w:r>
      <w:r w:rsidR="003C24D4" w:rsidRPr="006D4153">
        <w:rPr>
          <w:rFonts w:asciiTheme="minorHAnsi" w:eastAsia="Times New Roman" w:hAnsiTheme="minorHAnsi" w:cs="Times New Roman"/>
          <w:b/>
          <w:color w:val="000000" w:themeColor="text1"/>
          <w:szCs w:val="20"/>
          <w:lang w:eastAsia="en-AU"/>
        </w:rPr>
        <w:t xml:space="preserve"> </w:t>
      </w:r>
    </w:p>
    <w:tbl>
      <w:tblPr>
        <w:tblStyle w:val="TableGrid"/>
        <w:tblW w:w="0" w:type="auto"/>
        <w:shd w:val="clear" w:color="auto" w:fill="C6D9F1" w:themeFill="text2" w:themeFillTint="33"/>
        <w:tblLook w:val="04A0" w:firstRow="1" w:lastRow="0" w:firstColumn="1" w:lastColumn="0" w:noHBand="0" w:noVBand="1"/>
        <w:tblDescription w:val="ToR focusing question:"/>
      </w:tblPr>
      <w:tblGrid>
        <w:gridCol w:w="9117"/>
      </w:tblGrid>
      <w:tr w:rsidR="008109F4" w:rsidTr="00B72FB0">
        <w:trPr>
          <w:tblHeader/>
        </w:trPr>
        <w:tc>
          <w:tcPr>
            <w:tcW w:w="9322" w:type="dxa"/>
            <w:shd w:val="clear" w:color="auto" w:fill="C6D9F1" w:themeFill="text2" w:themeFillTint="33"/>
          </w:tcPr>
          <w:p w:rsidR="008109F4" w:rsidRPr="00B476FB" w:rsidRDefault="008109F4" w:rsidP="0013671B">
            <w:pPr>
              <w:pStyle w:val="ListParagraph"/>
              <w:spacing w:before="120" w:after="120"/>
              <w:ind w:left="0"/>
              <w:contextualSpacing w:val="0"/>
              <w:rPr>
                <w:rFonts w:asciiTheme="minorHAnsi" w:hAnsiTheme="minorHAnsi" w:cstheme="minorHAnsi"/>
                <w:b/>
              </w:rPr>
            </w:pPr>
            <w:r w:rsidRPr="00B476FB">
              <w:rPr>
                <w:rFonts w:asciiTheme="minorHAnsi" w:hAnsiTheme="minorHAnsi" w:cstheme="minorHAnsi"/>
                <w:b/>
              </w:rPr>
              <w:t>ToR focusing question:</w:t>
            </w:r>
          </w:p>
          <w:p w:rsidR="008109F4" w:rsidRDefault="008109F4" w:rsidP="00490CFD">
            <w:pPr>
              <w:pStyle w:val="ListParagraph"/>
              <w:numPr>
                <w:ilvl w:val="0"/>
                <w:numId w:val="17"/>
              </w:numPr>
              <w:spacing w:before="120" w:after="120"/>
              <w:ind w:left="357" w:hanging="357"/>
              <w:contextualSpacing w:val="0"/>
              <w:rPr>
                <w:rFonts w:asciiTheme="minorHAnsi" w:hAnsiTheme="minorHAnsi" w:cstheme="minorHAnsi"/>
              </w:rPr>
            </w:pPr>
            <w:r w:rsidRPr="008109F4">
              <w:rPr>
                <w:rFonts w:asciiTheme="minorHAnsi" w:hAnsiTheme="minorHAnsi" w:cstheme="minorHAnsi"/>
                <w:b/>
              </w:rPr>
              <w:t>Has the ACNC legislation been successful in reducing any duplicative reporting burden on charities? What opportunities exist to further reduce regulatory burden?</w:t>
            </w:r>
            <w:r w:rsidR="00762540">
              <w:rPr>
                <w:rFonts w:asciiTheme="minorHAnsi" w:hAnsiTheme="minorHAnsi" w:cstheme="minorHAnsi"/>
                <w:b/>
              </w:rPr>
              <w:t xml:space="preserve"> </w:t>
            </w:r>
          </w:p>
        </w:tc>
      </w:tr>
    </w:tbl>
    <w:p w:rsidR="000B61CD" w:rsidRPr="00F31004" w:rsidRDefault="000B61CD" w:rsidP="00B476FB">
      <w:pPr>
        <w:pStyle w:val="ListParagraph"/>
        <w:spacing w:before="240" w:after="120" w:line="240" w:lineRule="auto"/>
        <w:ind w:left="0"/>
        <w:contextualSpacing w:val="0"/>
        <w:rPr>
          <w:rFonts w:asciiTheme="minorHAnsi" w:hAnsiTheme="minorHAnsi" w:cstheme="minorHAnsi"/>
        </w:rPr>
      </w:pPr>
      <w:r w:rsidRPr="00F31004">
        <w:rPr>
          <w:rFonts w:asciiTheme="minorHAnsi" w:hAnsiTheme="minorHAnsi" w:cstheme="minorHAnsi"/>
        </w:rPr>
        <w:t>The Partnership considers that the ACNC is well placed to guide red tape reduction</w:t>
      </w:r>
      <w:r w:rsidR="009A3EAC" w:rsidRPr="00F31004">
        <w:rPr>
          <w:rFonts w:asciiTheme="minorHAnsi" w:hAnsiTheme="minorHAnsi" w:cstheme="minorHAnsi"/>
        </w:rPr>
        <w:t xml:space="preserve"> for the sector</w:t>
      </w:r>
      <w:r w:rsidRPr="00F31004">
        <w:rPr>
          <w:rFonts w:asciiTheme="minorHAnsi" w:hAnsiTheme="minorHAnsi" w:cstheme="minorHAnsi"/>
        </w:rPr>
        <w:t xml:space="preserve">, particularly where it involves cooperative legislative changes across state and federal jurisdictions.   We note that the ACNC has </w:t>
      </w:r>
      <w:r w:rsidR="00117B95">
        <w:rPr>
          <w:rFonts w:asciiTheme="minorHAnsi" w:hAnsiTheme="minorHAnsi" w:cstheme="minorHAnsi"/>
        </w:rPr>
        <w:t xml:space="preserve">achieved some major wins </w:t>
      </w:r>
      <w:r w:rsidRPr="00F31004">
        <w:rPr>
          <w:rFonts w:asciiTheme="minorHAnsi" w:hAnsiTheme="minorHAnsi" w:cstheme="minorHAnsi"/>
        </w:rPr>
        <w:t xml:space="preserve">in this </w:t>
      </w:r>
      <w:r w:rsidR="00117B95">
        <w:rPr>
          <w:rFonts w:asciiTheme="minorHAnsi" w:hAnsiTheme="minorHAnsi" w:cstheme="minorHAnsi"/>
        </w:rPr>
        <w:t>area</w:t>
      </w:r>
      <w:r w:rsidRPr="00F31004">
        <w:rPr>
          <w:rFonts w:asciiTheme="minorHAnsi" w:hAnsiTheme="minorHAnsi" w:cstheme="minorHAnsi"/>
        </w:rPr>
        <w:t xml:space="preserve">, but there is much work still to be accomplished.  </w:t>
      </w:r>
    </w:p>
    <w:p w:rsidR="002F21D5" w:rsidRPr="002F21D5" w:rsidRDefault="002F21D5" w:rsidP="00CC204A">
      <w:pPr>
        <w:autoSpaceDE w:val="0"/>
        <w:autoSpaceDN w:val="0"/>
        <w:adjustRightInd w:val="0"/>
        <w:spacing w:before="240" w:after="120" w:line="240" w:lineRule="auto"/>
        <w:rPr>
          <w:rFonts w:asciiTheme="minorHAnsi" w:hAnsiTheme="minorHAnsi" w:cstheme="minorHAnsi"/>
          <w:b/>
          <w:i/>
        </w:rPr>
      </w:pPr>
      <w:r w:rsidRPr="002F21D5">
        <w:rPr>
          <w:rFonts w:asciiTheme="minorHAnsi" w:hAnsiTheme="minorHAnsi" w:cstheme="minorHAnsi"/>
          <w:b/>
          <w:i/>
        </w:rPr>
        <w:t xml:space="preserve">4.1 Australian Consumer Law (ACL) Review </w:t>
      </w:r>
      <w:r>
        <w:rPr>
          <w:rFonts w:asciiTheme="minorHAnsi" w:hAnsiTheme="minorHAnsi" w:cstheme="minorHAnsi"/>
          <w:b/>
          <w:i/>
        </w:rPr>
        <w:t>recommendations</w:t>
      </w:r>
    </w:p>
    <w:p w:rsidR="00DB4C73" w:rsidRPr="00F31004" w:rsidRDefault="00DB4C73" w:rsidP="0013671B">
      <w:pPr>
        <w:autoSpaceDE w:val="0"/>
        <w:autoSpaceDN w:val="0"/>
        <w:adjustRightInd w:val="0"/>
        <w:spacing w:before="120" w:after="120" w:line="240" w:lineRule="auto"/>
        <w:rPr>
          <w:rFonts w:asciiTheme="minorHAnsi" w:hAnsiTheme="minorHAnsi" w:cstheme="minorHAnsi"/>
        </w:rPr>
      </w:pPr>
      <w:r w:rsidRPr="00F31004">
        <w:rPr>
          <w:rFonts w:asciiTheme="minorHAnsi" w:hAnsiTheme="minorHAnsi" w:cstheme="minorHAnsi"/>
        </w:rPr>
        <w:t xml:space="preserve">The Partnership has received feedback from many stakeholders that harmonisation of fundraising regulations is a critical issue for the </w:t>
      </w:r>
      <w:r w:rsidR="00CF0081">
        <w:rPr>
          <w:rFonts w:asciiTheme="minorHAnsi" w:hAnsiTheme="minorHAnsi" w:cstheme="minorHAnsi"/>
        </w:rPr>
        <w:t>NFP</w:t>
      </w:r>
      <w:r w:rsidRPr="00F31004">
        <w:rPr>
          <w:rFonts w:asciiTheme="minorHAnsi" w:hAnsiTheme="minorHAnsi" w:cstheme="minorHAnsi"/>
        </w:rPr>
        <w:t xml:space="preserve"> and charity sector, unlocking potential to focus on outcomes and impact, improving efficiency and reducing regulatory burden and red tape.  These issues were highlighted in the submissions made by Justice Connect and the ACNC to the Australian Consumer Law (ACL) Review, which the Partnership support. </w:t>
      </w:r>
    </w:p>
    <w:p w:rsidR="00DB4C73" w:rsidRPr="00F31004" w:rsidRDefault="00DB4C73" w:rsidP="0013671B">
      <w:pPr>
        <w:autoSpaceDE w:val="0"/>
        <w:autoSpaceDN w:val="0"/>
        <w:adjustRightInd w:val="0"/>
        <w:spacing w:before="120" w:after="120" w:line="240" w:lineRule="auto"/>
        <w:rPr>
          <w:rFonts w:asciiTheme="minorHAnsi" w:hAnsiTheme="minorHAnsi" w:cstheme="minorHAnsi"/>
        </w:rPr>
      </w:pPr>
      <w:r w:rsidRPr="00F31004">
        <w:rPr>
          <w:rFonts w:asciiTheme="minorHAnsi" w:hAnsiTheme="minorHAnsi" w:cstheme="minorHAnsi"/>
        </w:rPr>
        <w:t xml:space="preserve">In the Partnership’s submission of March 2017 to the </w:t>
      </w:r>
      <w:r w:rsidR="000B0012">
        <w:rPr>
          <w:rFonts w:asciiTheme="minorHAnsi" w:hAnsiTheme="minorHAnsi" w:cstheme="minorHAnsi"/>
        </w:rPr>
        <w:t>A</w:t>
      </w:r>
      <w:r w:rsidRPr="00F31004">
        <w:rPr>
          <w:rFonts w:asciiTheme="minorHAnsi" w:hAnsiTheme="minorHAnsi" w:cstheme="minorHAnsi"/>
        </w:rPr>
        <w:t>CL Review</w:t>
      </w:r>
      <w:r w:rsidR="0060629D">
        <w:rPr>
          <w:rFonts w:asciiTheme="minorHAnsi" w:hAnsiTheme="minorHAnsi" w:cstheme="minorHAnsi"/>
        </w:rPr>
        <w:t>, the Partnership</w:t>
      </w:r>
      <w:r w:rsidRPr="00F31004">
        <w:rPr>
          <w:rFonts w:asciiTheme="minorHAnsi" w:hAnsiTheme="minorHAnsi" w:cstheme="minorHAnsi"/>
        </w:rPr>
        <w:t xml:space="preserve"> noted </w:t>
      </w:r>
      <w:r w:rsidR="0060629D">
        <w:rPr>
          <w:rFonts w:asciiTheme="minorHAnsi" w:hAnsiTheme="minorHAnsi" w:cstheme="minorHAnsi"/>
        </w:rPr>
        <w:t>its</w:t>
      </w:r>
      <w:r w:rsidRPr="00F31004">
        <w:rPr>
          <w:rFonts w:asciiTheme="minorHAnsi" w:hAnsiTheme="minorHAnsi" w:cstheme="minorHAnsi"/>
        </w:rPr>
        <w:t xml:space="preserve"> support for these two key recommendations:</w:t>
      </w:r>
    </w:p>
    <w:p w:rsidR="00DB4C73" w:rsidRPr="00F31004" w:rsidRDefault="00DB4C73" w:rsidP="000B0012">
      <w:pPr>
        <w:pStyle w:val="ListParagraph"/>
        <w:numPr>
          <w:ilvl w:val="0"/>
          <w:numId w:val="5"/>
        </w:numPr>
        <w:autoSpaceDE w:val="0"/>
        <w:autoSpaceDN w:val="0"/>
        <w:adjustRightInd w:val="0"/>
        <w:spacing w:before="120" w:after="120" w:line="240" w:lineRule="auto"/>
        <w:ind w:left="714" w:hanging="357"/>
        <w:contextualSpacing w:val="0"/>
        <w:rPr>
          <w:rFonts w:asciiTheme="minorHAnsi" w:hAnsiTheme="minorHAnsi" w:cstheme="minorHAnsi"/>
        </w:rPr>
      </w:pPr>
      <w:r w:rsidRPr="00F31004">
        <w:rPr>
          <w:rFonts w:asciiTheme="minorHAnsi" w:hAnsiTheme="minorHAnsi" w:cstheme="minorHAnsi"/>
        </w:rPr>
        <w:t>Recommendations 1 - 3: Amend the definition of “trade and commerce” to clarify whether not-for-profit activities fall within or outside the scope of this definition, specifically giving clarity to not-for-profits about what activities might qualify as trade and commerce.  There are a number of grey areas that cause some confusion for the sector.  The recommendations include education and also a transition period into the final regime for not-for-profits, which the Partnership believes would be helpful for the not-for-profit sector</w:t>
      </w:r>
      <w:r w:rsidR="000B0012">
        <w:rPr>
          <w:rFonts w:asciiTheme="minorHAnsi" w:hAnsiTheme="minorHAnsi" w:cstheme="minorHAnsi"/>
        </w:rPr>
        <w:t>,</w:t>
      </w:r>
      <w:r w:rsidRPr="00F31004">
        <w:rPr>
          <w:rFonts w:asciiTheme="minorHAnsi" w:hAnsiTheme="minorHAnsi" w:cstheme="minorHAnsi"/>
        </w:rPr>
        <w:t xml:space="preserve"> and </w:t>
      </w:r>
    </w:p>
    <w:p w:rsidR="00DB4C73" w:rsidRPr="00F31004" w:rsidRDefault="00DB4C73" w:rsidP="000B0012">
      <w:pPr>
        <w:pStyle w:val="ListParagraph"/>
        <w:numPr>
          <w:ilvl w:val="0"/>
          <w:numId w:val="5"/>
        </w:numPr>
        <w:autoSpaceDE w:val="0"/>
        <w:autoSpaceDN w:val="0"/>
        <w:adjustRightInd w:val="0"/>
        <w:spacing w:before="120" w:after="120" w:line="240" w:lineRule="auto"/>
        <w:ind w:left="714" w:hanging="357"/>
        <w:contextualSpacing w:val="0"/>
        <w:rPr>
          <w:rFonts w:asciiTheme="minorHAnsi" w:hAnsiTheme="minorHAnsi" w:cstheme="minorHAnsi"/>
        </w:rPr>
      </w:pPr>
      <w:r w:rsidRPr="00F31004">
        <w:rPr>
          <w:rFonts w:asciiTheme="minorHAnsi" w:hAnsiTheme="minorHAnsi" w:cstheme="minorHAnsi"/>
        </w:rPr>
        <w:t xml:space="preserve">Recommendation 4:  The Partnership endorses the critical reform of the fundraising licence regime.  In our discussions with the sector this has been one of the key reforms that has been raised with us on numerous occasions </w:t>
      </w:r>
      <w:r w:rsidR="00FA0603">
        <w:rPr>
          <w:rFonts w:asciiTheme="minorHAnsi" w:hAnsiTheme="minorHAnsi" w:cstheme="minorHAnsi"/>
        </w:rPr>
        <w:t xml:space="preserve">by varied stakeholders, </w:t>
      </w:r>
      <w:r w:rsidRPr="00F31004">
        <w:rPr>
          <w:rFonts w:asciiTheme="minorHAnsi" w:hAnsiTheme="minorHAnsi" w:cstheme="minorHAnsi"/>
        </w:rPr>
        <w:t xml:space="preserve">and in different forums.  The current, fragmented regulatory landscape is ineffective at regulating fundraising, and compliance with it is burdensome in the extreme. This is a </w:t>
      </w:r>
      <w:r w:rsidR="00A66DC7" w:rsidRPr="00F31004">
        <w:rPr>
          <w:rFonts w:asciiTheme="minorHAnsi" w:hAnsiTheme="minorHAnsi" w:cstheme="minorHAnsi"/>
        </w:rPr>
        <w:t>well-identified</w:t>
      </w:r>
      <w:r w:rsidRPr="00F31004">
        <w:rPr>
          <w:rFonts w:asciiTheme="minorHAnsi" w:hAnsiTheme="minorHAnsi" w:cstheme="minorHAnsi"/>
        </w:rPr>
        <w:t xml:space="preserve"> area of red tape that acts as a barrier to not-for-profits getting their important work done.</w:t>
      </w:r>
    </w:p>
    <w:p w:rsidR="00DB4C73" w:rsidRPr="00F31004" w:rsidRDefault="00DB4C73" w:rsidP="0013671B">
      <w:pPr>
        <w:autoSpaceDE w:val="0"/>
        <w:autoSpaceDN w:val="0"/>
        <w:adjustRightInd w:val="0"/>
        <w:spacing w:before="120" w:after="120" w:line="240" w:lineRule="auto"/>
        <w:rPr>
          <w:rFonts w:asciiTheme="minorHAnsi" w:hAnsiTheme="minorHAnsi" w:cstheme="minorHAnsi"/>
        </w:rPr>
      </w:pPr>
      <w:r w:rsidRPr="00F31004">
        <w:rPr>
          <w:rFonts w:asciiTheme="minorHAnsi" w:hAnsiTheme="minorHAnsi" w:cstheme="minorHAnsi"/>
        </w:rPr>
        <w:t xml:space="preserve">The Partnership noted in its submission of March 2017 to the ACL Review that: </w:t>
      </w:r>
    </w:p>
    <w:p w:rsidR="00492667" w:rsidRPr="00F31004" w:rsidRDefault="00492667" w:rsidP="0013671B">
      <w:pPr>
        <w:pStyle w:val="ListParagraph"/>
        <w:spacing w:before="120" w:after="120" w:line="240" w:lineRule="auto"/>
        <w:rPr>
          <w:rFonts w:asciiTheme="minorHAnsi" w:hAnsiTheme="minorHAnsi" w:cstheme="minorHAnsi"/>
        </w:rPr>
      </w:pPr>
      <w:r w:rsidRPr="00F31004">
        <w:rPr>
          <w:rFonts w:asciiTheme="minorHAnsi" w:hAnsiTheme="minorHAnsi" w:cstheme="minorHAnsi"/>
        </w:rPr>
        <w:t>“Fundraising legislation differs significantly between jurisdictions, adding to costs incurred by the NFP sector. Harmonisation of fundraising legislation through the adoption of a model act should be an early priority for governments.”</w:t>
      </w:r>
    </w:p>
    <w:p w:rsidR="00DB4C73" w:rsidRPr="00F31004" w:rsidRDefault="00492667" w:rsidP="0013671B">
      <w:pPr>
        <w:pStyle w:val="ListParagraph"/>
        <w:spacing w:before="240" w:after="120" w:line="240" w:lineRule="auto"/>
        <w:ind w:left="0"/>
        <w:contextualSpacing w:val="0"/>
        <w:rPr>
          <w:rFonts w:asciiTheme="minorHAnsi" w:hAnsiTheme="minorHAnsi" w:cstheme="minorHAnsi"/>
        </w:rPr>
      </w:pPr>
      <w:r w:rsidRPr="00F31004">
        <w:rPr>
          <w:rFonts w:asciiTheme="minorHAnsi" w:hAnsiTheme="minorHAnsi" w:cstheme="minorHAnsi"/>
        </w:rPr>
        <w:t>The Partnership further noted in its submission that it specifically agrees with the inclusion of fundraising to fall within the ACL provisions and for the state and territory fundraising laws to be repealed.  The ACNC could then carry out the role of regulator of fundraising activities e.g. door knocking and telemarketing</w:t>
      </w:r>
      <w:r w:rsidR="00966D34">
        <w:rPr>
          <w:rFonts w:asciiTheme="minorHAnsi" w:hAnsiTheme="minorHAnsi" w:cstheme="minorHAnsi"/>
        </w:rPr>
        <w:t>,</w:t>
      </w:r>
      <w:r w:rsidRPr="00F31004">
        <w:rPr>
          <w:rFonts w:asciiTheme="minorHAnsi" w:hAnsiTheme="minorHAnsi" w:cstheme="minorHAnsi"/>
        </w:rPr>
        <w:t xml:space="preserve"> as we see the</w:t>
      </w:r>
      <w:r w:rsidR="00966D34">
        <w:rPr>
          <w:rFonts w:asciiTheme="minorHAnsi" w:hAnsiTheme="minorHAnsi" w:cstheme="minorHAnsi"/>
        </w:rPr>
        <w:t xml:space="preserve"> ACNC</w:t>
      </w:r>
      <w:r w:rsidRPr="00F31004">
        <w:rPr>
          <w:rFonts w:asciiTheme="minorHAnsi" w:hAnsiTheme="minorHAnsi" w:cstheme="minorHAnsi"/>
        </w:rPr>
        <w:t xml:space="preserve"> as best placed to oversee this in conjunction with the Fundraising Institute of Australia.  </w:t>
      </w:r>
    </w:p>
    <w:p w:rsidR="000B61CD" w:rsidRPr="00F31004" w:rsidRDefault="000B61CD" w:rsidP="0013671B">
      <w:pPr>
        <w:pStyle w:val="ListParagraph"/>
        <w:spacing w:before="120" w:after="120" w:line="240" w:lineRule="auto"/>
        <w:ind w:left="0"/>
        <w:contextualSpacing w:val="0"/>
        <w:rPr>
          <w:rFonts w:asciiTheme="minorHAnsi" w:hAnsiTheme="minorHAnsi" w:cstheme="minorHAnsi"/>
        </w:rPr>
      </w:pPr>
      <w:r w:rsidRPr="00F31004">
        <w:rPr>
          <w:rFonts w:asciiTheme="minorHAnsi" w:hAnsiTheme="minorHAnsi" w:cstheme="minorHAnsi"/>
        </w:rPr>
        <w:t xml:space="preserve">The Partnership </w:t>
      </w:r>
      <w:r w:rsidR="009A3EAC" w:rsidRPr="00F31004">
        <w:rPr>
          <w:rFonts w:asciiTheme="minorHAnsi" w:hAnsiTheme="minorHAnsi" w:cstheme="minorHAnsi"/>
        </w:rPr>
        <w:t xml:space="preserve">has </w:t>
      </w:r>
      <w:r w:rsidRPr="00F31004">
        <w:rPr>
          <w:rFonts w:asciiTheme="minorHAnsi" w:hAnsiTheme="minorHAnsi" w:cstheme="minorHAnsi"/>
        </w:rPr>
        <w:t>suggest</w:t>
      </w:r>
      <w:r w:rsidR="009A3EAC" w:rsidRPr="00F31004">
        <w:rPr>
          <w:rFonts w:asciiTheme="minorHAnsi" w:hAnsiTheme="minorHAnsi" w:cstheme="minorHAnsi"/>
        </w:rPr>
        <w:t xml:space="preserve">ed below </w:t>
      </w:r>
      <w:r w:rsidRPr="00F31004">
        <w:rPr>
          <w:rFonts w:asciiTheme="minorHAnsi" w:hAnsiTheme="minorHAnsi" w:cstheme="minorHAnsi"/>
        </w:rPr>
        <w:t xml:space="preserve">some </w:t>
      </w:r>
      <w:r w:rsidR="00DB4C73" w:rsidRPr="00F31004">
        <w:rPr>
          <w:rFonts w:asciiTheme="minorHAnsi" w:hAnsiTheme="minorHAnsi" w:cstheme="minorHAnsi"/>
        </w:rPr>
        <w:t xml:space="preserve">further </w:t>
      </w:r>
      <w:r w:rsidR="00EA5896" w:rsidRPr="00F31004">
        <w:rPr>
          <w:rFonts w:asciiTheme="minorHAnsi" w:hAnsiTheme="minorHAnsi" w:cstheme="minorHAnsi"/>
        </w:rPr>
        <w:t xml:space="preserve">areas </w:t>
      </w:r>
      <w:r w:rsidR="009A3EAC" w:rsidRPr="00F31004">
        <w:rPr>
          <w:rFonts w:asciiTheme="minorHAnsi" w:hAnsiTheme="minorHAnsi" w:cstheme="minorHAnsi"/>
        </w:rPr>
        <w:t xml:space="preserve">for </w:t>
      </w:r>
      <w:r w:rsidR="00E43B14" w:rsidRPr="00F31004">
        <w:rPr>
          <w:rFonts w:asciiTheme="minorHAnsi" w:hAnsiTheme="minorHAnsi" w:cstheme="minorHAnsi"/>
        </w:rPr>
        <w:t>reform, which</w:t>
      </w:r>
      <w:r w:rsidRPr="00F31004">
        <w:rPr>
          <w:rFonts w:asciiTheme="minorHAnsi" w:hAnsiTheme="minorHAnsi" w:cstheme="minorHAnsi"/>
        </w:rPr>
        <w:t xml:space="preserve"> would increase </w:t>
      </w:r>
      <w:r w:rsidR="009A3EAC" w:rsidRPr="00F31004">
        <w:rPr>
          <w:rFonts w:asciiTheme="minorHAnsi" w:hAnsiTheme="minorHAnsi" w:cstheme="minorHAnsi"/>
        </w:rPr>
        <w:t xml:space="preserve">the </w:t>
      </w:r>
      <w:r w:rsidRPr="00F31004">
        <w:rPr>
          <w:rFonts w:asciiTheme="minorHAnsi" w:hAnsiTheme="minorHAnsi" w:cstheme="minorHAnsi"/>
        </w:rPr>
        <w:t xml:space="preserve">effectiveness </w:t>
      </w:r>
      <w:r w:rsidR="009A3EAC" w:rsidRPr="00F31004">
        <w:rPr>
          <w:rFonts w:asciiTheme="minorHAnsi" w:hAnsiTheme="minorHAnsi" w:cstheme="minorHAnsi"/>
        </w:rPr>
        <w:t xml:space="preserve">of the ACNC </w:t>
      </w:r>
      <w:r w:rsidRPr="00F31004">
        <w:rPr>
          <w:rFonts w:asciiTheme="minorHAnsi" w:hAnsiTheme="minorHAnsi" w:cstheme="minorHAnsi"/>
        </w:rPr>
        <w:t>in this regard</w:t>
      </w:r>
      <w:r w:rsidR="009A3EAC" w:rsidRPr="00F31004">
        <w:rPr>
          <w:rFonts w:asciiTheme="minorHAnsi" w:hAnsiTheme="minorHAnsi" w:cstheme="minorHAnsi"/>
        </w:rPr>
        <w:t xml:space="preserve">. </w:t>
      </w:r>
    </w:p>
    <w:p w:rsidR="000B61CD" w:rsidRPr="00F31004" w:rsidRDefault="00EB40C6" w:rsidP="0013671B">
      <w:pPr>
        <w:spacing w:before="240" w:after="120" w:line="240" w:lineRule="auto"/>
        <w:rPr>
          <w:rFonts w:asciiTheme="minorHAnsi" w:eastAsia="Calibri" w:hAnsiTheme="minorHAnsi" w:cstheme="minorHAnsi"/>
          <w:b/>
          <w:i/>
        </w:rPr>
      </w:pPr>
      <w:r>
        <w:rPr>
          <w:rFonts w:asciiTheme="minorHAnsi" w:eastAsia="Calibri" w:hAnsiTheme="minorHAnsi" w:cstheme="minorHAnsi"/>
          <w:b/>
          <w:i/>
        </w:rPr>
        <w:t xml:space="preserve">4.2 </w:t>
      </w:r>
      <w:r w:rsidR="000B61CD" w:rsidRPr="00F31004">
        <w:rPr>
          <w:rFonts w:asciiTheme="minorHAnsi" w:eastAsia="Calibri" w:hAnsiTheme="minorHAnsi" w:cstheme="minorHAnsi"/>
          <w:b/>
          <w:i/>
        </w:rPr>
        <w:t>Commitment to advocate for a Common Definition of Charity</w:t>
      </w:r>
    </w:p>
    <w:p w:rsidR="000B61CD" w:rsidRPr="00F31004" w:rsidRDefault="009A3EAC" w:rsidP="0013671B">
      <w:pPr>
        <w:spacing w:before="120" w:after="120" w:line="240" w:lineRule="auto"/>
        <w:rPr>
          <w:rFonts w:asciiTheme="minorHAnsi" w:eastAsia="Calibri" w:hAnsiTheme="minorHAnsi" w:cstheme="minorHAnsi"/>
        </w:rPr>
      </w:pPr>
      <w:r w:rsidRPr="00F31004">
        <w:rPr>
          <w:rFonts w:asciiTheme="minorHAnsi" w:eastAsia="Calibri" w:hAnsiTheme="minorHAnsi" w:cstheme="minorHAnsi"/>
        </w:rPr>
        <w:t>The Partnership notes that c</w:t>
      </w:r>
      <w:r w:rsidR="000B61CD" w:rsidRPr="00F31004">
        <w:rPr>
          <w:rFonts w:asciiTheme="minorHAnsi" w:eastAsia="Calibri" w:hAnsiTheme="minorHAnsi" w:cstheme="minorHAnsi"/>
        </w:rPr>
        <w:t>urrently the definitions of ‘charity’ differ</w:t>
      </w:r>
      <w:r w:rsidR="00520C61">
        <w:rPr>
          <w:rFonts w:asciiTheme="minorHAnsi" w:eastAsia="Calibri" w:hAnsiTheme="minorHAnsi" w:cstheme="minorHAnsi"/>
        </w:rPr>
        <w:t>s</w:t>
      </w:r>
      <w:r w:rsidR="000B61CD" w:rsidRPr="00F31004">
        <w:rPr>
          <w:rFonts w:asciiTheme="minorHAnsi" w:eastAsia="Calibri" w:hAnsiTheme="minorHAnsi" w:cstheme="minorHAnsi"/>
        </w:rPr>
        <w:t xml:space="preserve"> between various State</w:t>
      </w:r>
      <w:r w:rsidRPr="00F31004">
        <w:rPr>
          <w:rFonts w:asciiTheme="minorHAnsi" w:eastAsia="Calibri" w:hAnsiTheme="minorHAnsi" w:cstheme="minorHAnsi"/>
        </w:rPr>
        <w:t>, Territory</w:t>
      </w:r>
      <w:r w:rsidR="000B61CD" w:rsidRPr="00F31004">
        <w:rPr>
          <w:rFonts w:asciiTheme="minorHAnsi" w:eastAsia="Calibri" w:hAnsiTheme="minorHAnsi" w:cstheme="minorHAnsi"/>
        </w:rPr>
        <w:t xml:space="preserve"> </w:t>
      </w:r>
      <w:r w:rsidRPr="00F31004">
        <w:rPr>
          <w:rFonts w:asciiTheme="minorHAnsi" w:eastAsia="Calibri" w:hAnsiTheme="minorHAnsi" w:cstheme="minorHAnsi"/>
        </w:rPr>
        <w:t>a</w:t>
      </w:r>
      <w:r w:rsidR="000B61CD" w:rsidRPr="00F31004">
        <w:rPr>
          <w:rFonts w:asciiTheme="minorHAnsi" w:eastAsia="Calibri" w:hAnsiTheme="minorHAnsi" w:cstheme="minorHAnsi"/>
        </w:rPr>
        <w:t xml:space="preserve">nd Commonwealth legislation.  </w:t>
      </w:r>
      <w:r w:rsidRPr="00F31004">
        <w:rPr>
          <w:rFonts w:asciiTheme="minorHAnsi" w:eastAsia="Calibri" w:hAnsiTheme="minorHAnsi" w:cstheme="minorHAnsi"/>
        </w:rPr>
        <w:t>Leadership and s</w:t>
      </w:r>
      <w:r w:rsidR="000B61CD" w:rsidRPr="00F31004">
        <w:rPr>
          <w:rFonts w:asciiTheme="minorHAnsi" w:eastAsia="Calibri" w:hAnsiTheme="minorHAnsi" w:cstheme="minorHAnsi"/>
        </w:rPr>
        <w:t xml:space="preserve">upport from </w:t>
      </w:r>
      <w:r w:rsidRPr="00F31004">
        <w:rPr>
          <w:rFonts w:asciiTheme="minorHAnsi" w:eastAsia="Calibri" w:hAnsiTheme="minorHAnsi" w:cstheme="minorHAnsi"/>
        </w:rPr>
        <w:t xml:space="preserve">the </w:t>
      </w:r>
      <w:r w:rsidR="000B61CD" w:rsidRPr="00F31004">
        <w:rPr>
          <w:rFonts w:asciiTheme="minorHAnsi" w:eastAsia="Calibri" w:hAnsiTheme="minorHAnsi" w:cstheme="minorHAnsi"/>
        </w:rPr>
        <w:t>Commonwealth Government for a common definition of charity would assist the implementation of regulatory and reporting alignment and harmonisation initiatives.</w:t>
      </w:r>
    </w:p>
    <w:p w:rsidR="000B61CD" w:rsidRPr="00F31004" w:rsidRDefault="00EB40C6" w:rsidP="0013671B">
      <w:pPr>
        <w:spacing w:before="240" w:after="120" w:line="240" w:lineRule="auto"/>
        <w:rPr>
          <w:rFonts w:asciiTheme="minorHAnsi" w:eastAsia="Calibri" w:hAnsiTheme="minorHAnsi" w:cstheme="minorHAnsi"/>
          <w:b/>
          <w:i/>
        </w:rPr>
      </w:pPr>
      <w:r>
        <w:rPr>
          <w:rFonts w:asciiTheme="minorHAnsi" w:eastAsia="Calibri" w:hAnsiTheme="minorHAnsi" w:cstheme="minorHAnsi"/>
          <w:b/>
          <w:i/>
        </w:rPr>
        <w:t xml:space="preserve">4.3 </w:t>
      </w:r>
      <w:r w:rsidR="000B61CD" w:rsidRPr="00F31004">
        <w:rPr>
          <w:rFonts w:asciiTheme="minorHAnsi" w:eastAsia="Calibri" w:hAnsiTheme="minorHAnsi" w:cstheme="minorHAnsi"/>
          <w:b/>
          <w:i/>
        </w:rPr>
        <w:t>Commitment to align State and Commonwealth Governments Fundraising, Revenue and Incorporated Associations Reporting</w:t>
      </w:r>
    </w:p>
    <w:p w:rsidR="000B61CD" w:rsidRPr="00F31004" w:rsidRDefault="00313B2D" w:rsidP="0013671B">
      <w:pPr>
        <w:spacing w:before="120" w:after="120" w:line="240" w:lineRule="auto"/>
        <w:rPr>
          <w:rFonts w:asciiTheme="minorHAnsi" w:eastAsia="Calibri" w:hAnsiTheme="minorHAnsi" w:cstheme="minorHAnsi"/>
        </w:rPr>
      </w:pPr>
      <w:r w:rsidRPr="00F31004">
        <w:rPr>
          <w:rFonts w:asciiTheme="minorHAnsi" w:eastAsia="Calibri" w:hAnsiTheme="minorHAnsi" w:cstheme="minorHAnsi"/>
        </w:rPr>
        <w:t>The Partnership notes that s</w:t>
      </w:r>
      <w:r w:rsidR="000B61CD" w:rsidRPr="00F31004">
        <w:rPr>
          <w:rFonts w:asciiTheme="minorHAnsi" w:eastAsia="Calibri" w:hAnsiTheme="minorHAnsi" w:cstheme="minorHAnsi"/>
        </w:rPr>
        <w:t xml:space="preserve">ince the announcement of the retention of </w:t>
      </w:r>
      <w:r w:rsidRPr="00F31004">
        <w:rPr>
          <w:rFonts w:asciiTheme="minorHAnsi" w:eastAsia="Calibri" w:hAnsiTheme="minorHAnsi" w:cstheme="minorHAnsi"/>
        </w:rPr>
        <w:t xml:space="preserve">the </w:t>
      </w:r>
      <w:r w:rsidR="000B61CD" w:rsidRPr="00F31004">
        <w:rPr>
          <w:rFonts w:asciiTheme="minorHAnsi" w:eastAsia="Calibri" w:hAnsiTheme="minorHAnsi" w:cstheme="minorHAnsi"/>
        </w:rPr>
        <w:t xml:space="preserve">ACNC, two jurisdictions have passed legislation that removes duplicative regulation and reporting for charities.  In South Australia, from 2017, incorporated associations that are registered with ACNC will not be required to submit information to the state regulator.  South Australian charities registered with ACNC will also no longer need to apply for a fundraising licence, or file annual returns to the state government. In Tasmania, incorporated associations registered with ACNC will no longer need to provide financial reports to government. </w:t>
      </w:r>
    </w:p>
    <w:p w:rsidR="000B61CD" w:rsidRDefault="000B61CD" w:rsidP="0013671B">
      <w:pPr>
        <w:spacing w:before="120" w:after="120" w:line="240" w:lineRule="auto"/>
        <w:rPr>
          <w:rFonts w:asciiTheme="minorHAnsi" w:eastAsia="Calibri" w:hAnsiTheme="minorHAnsi" w:cstheme="minorHAnsi"/>
        </w:rPr>
      </w:pPr>
      <w:r w:rsidRPr="00F31004">
        <w:rPr>
          <w:rFonts w:asciiTheme="minorHAnsi" w:eastAsia="Calibri" w:hAnsiTheme="minorHAnsi" w:cstheme="minorHAnsi"/>
        </w:rPr>
        <w:t xml:space="preserve">However, in several jurisdictions, efforts by ACNC to progress alignment in bilateral and multilateral meetings with government agencies have had limited success.  Public commitment by </w:t>
      </w:r>
      <w:r w:rsidR="00E74E0C">
        <w:rPr>
          <w:rFonts w:asciiTheme="minorHAnsi" w:eastAsia="Calibri" w:hAnsiTheme="minorHAnsi" w:cstheme="minorHAnsi"/>
        </w:rPr>
        <w:t xml:space="preserve">the </w:t>
      </w:r>
      <w:r w:rsidRPr="00F31004">
        <w:rPr>
          <w:rFonts w:asciiTheme="minorHAnsi" w:eastAsia="Calibri" w:hAnsiTheme="minorHAnsi" w:cstheme="minorHAnsi"/>
        </w:rPr>
        <w:t>Commonwealth Government would assist to give these initiatives greater priority and support on the part of states and territories.</w:t>
      </w:r>
    </w:p>
    <w:p w:rsidR="000E19B6" w:rsidRPr="0057157E" w:rsidRDefault="00EB40C6" w:rsidP="0013671B">
      <w:pPr>
        <w:spacing w:before="120" w:after="120" w:line="240" w:lineRule="auto"/>
        <w:rPr>
          <w:rFonts w:asciiTheme="minorHAnsi" w:eastAsia="Calibri" w:hAnsiTheme="minorHAnsi" w:cstheme="minorHAnsi"/>
          <w:b/>
          <w:i/>
        </w:rPr>
      </w:pPr>
      <w:r w:rsidRPr="0057157E">
        <w:rPr>
          <w:rFonts w:asciiTheme="minorHAnsi" w:eastAsia="Calibri" w:hAnsiTheme="minorHAnsi" w:cstheme="minorHAnsi"/>
          <w:b/>
          <w:i/>
        </w:rPr>
        <w:t xml:space="preserve">4.4 </w:t>
      </w:r>
      <w:r w:rsidR="00E37C63" w:rsidRPr="0057157E">
        <w:rPr>
          <w:rFonts w:asciiTheme="minorHAnsi" w:eastAsia="Calibri" w:hAnsiTheme="minorHAnsi" w:cstheme="minorHAnsi"/>
          <w:b/>
          <w:i/>
        </w:rPr>
        <w:t>Implementation of a n</w:t>
      </w:r>
      <w:r w:rsidR="000E19B6" w:rsidRPr="0057157E">
        <w:rPr>
          <w:rFonts w:asciiTheme="minorHAnsi" w:eastAsia="Calibri" w:hAnsiTheme="minorHAnsi" w:cstheme="minorHAnsi"/>
          <w:b/>
          <w:i/>
        </w:rPr>
        <w:t>ational system of working with children and vulnerable people checks</w:t>
      </w:r>
    </w:p>
    <w:p w:rsidR="00C86DB8" w:rsidRPr="0057157E" w:rsidRDefault="00F93FB3" w:rsidP="00C86DB8">
      <w:pPr>
        <w:spacing w:before="120" w:after="120" w:line="240" w:lineRule="auto"/>
        <w:rPr>
          <w:rFonts w:asciiTheme="minorHAnsi" w:eastAsia="Calibri" w:hAnsiTheme="minorHAnsi" w:cstheme="minorHAnsi"/>
        </w:rPr>
      </w:pPr>
      <w:r w:rsidRPr="0057157E">
        <w:rPr>
          <w:rFonts w:asciiTheme="minorHAnsi" w:eastAsia="Calibri" w:hAnsiTheme="minorHAnsi" w:cstheme="minorHAnsi"/>
        </w:rPr>
        <w:t xml:space="preserve">The Partnership notes the recommendations of the </w:t>
      </w:r>
      <w:r w:rsidR="002F3117" w:rsidRPr="0057157E">
        <w:rPr>
          <w:rFonts w:asciiTheme="minorHAnsi" w:eastAsia="Calibri" w:hAnsiTheme="minorHAnsi" w:cstheme="minorHAnsi"/>
        </w:rPr>
        <w:t>F</w:t>
      </w:r>
      <w:r w:rsidR="006026AB" w:rsidRPr="0057157E">
        <w:rPr>
          <w:rFonts w:asciiTheme="minorHAnsi" w:eastAsia="Calibri" w:hAnsiTheme="minorHAnsi" w:cstheme="minorHAnsi"/>
        </w:rPr>
        <w:t xml:space="preserve">inal Report of the </w:t>
      </w:r>
      <w:r w:rsidR="000E19B6" w:rsidRPr="0057157E">
        <w:rPr>
          <w:rFonts w:asciiTheme="minorHAnsi" w:eastAsia="Calibri" w:hAnsiTheme="minorHAnsi" w:cstheme="minorHAnsi"/>
        </w:rPr>
        <w:t>Royal Commission</w:t>
      </w:r>
      <w:r w:rsidR="002F3117" w:rsidRPr="0057157E">
        <w:t xml:space="preserve"> </w:t>
      </w:r>
      <w:r w:rsidR="002F3117" w:rsidRPr="0057157E">
        <w:rPr>
          <w:rFonts w:asciiTheme="minorHAnsi" w:eastAsia="Calibri" w:hAnsiTheme="minorHAnsi" w:cstheme="minorHAnsi"/>
        </w:rPr>
        <w:t xml:space="preserve">into Institutional Responses to Child Sexual Abuse </w:t>
      </w:r>
      <w:r w:rsidR="00C86DB8" w:rsidRPr="0057157E">
        <w:rPr>
          <w:rStyle w:val="FootnoteReference"/>
          <w:rFonts w:asciiTheme="minorHAnsi" w:eastAsia="Calibri" w:hAnsiTheme="minorHAnsi" w:cstheme="minorHAnsi"/>
        </w:rPr>
        <w:footnoteReference w:id="26"/>
      </w:r>
      <w:r w:rsidR="000E19B6" w:rsidRPr="0057157E">
        <w:rPr>
          <w:rFonts w:asciiTheme="minorHAnsi" w:eastAsia="Calibri" w:hAnsiTheme="minorHAnsi" w:cstheme="minorHAnsi"/>
        </w:rPr>
        <w:t xml:space="preserve"> </w:t>
      </w:r>
      <w:r w:rsidR="00C86DB8" w:rsidRPr="0057157E">
        <w:rPr>
          <w:rFonts w:asciiTheme="minorHAnsi" w:eastAsia="Calibri" w:hAnsiTheme="minorHAnsi" w:cstheme="minorHAnsi"/>
        </w:rPr>
        <w:t>to implement National Child Safe Standards</w:t>
      </w:r>
      <w:r w:rsidR="00C7354F">
        <w:rPr>
          <w:rFonts w:asciiTheme="minorHAnsi" w:eastAsia="Calibri" w:hAnsiTheme="minorHAnsi" w:cstheme="minorHAnsi"/>
        </w:rPr>
        <w:t xml:space="preserve">, </w:t>
      </w:r>
      <w:r w:rsidR="00C86DB8" w:rsidRPr="0057157E">
        <w:rPr>
          <w:rFonts w:asciiTheme="minorHAnsi" w:eastAsia="Calibri" w:hAnsiTheme="minorHAnsi" w:cstheme="minorHAnsi"/>
        </w:rPr>
        <w:t xml:space="preserve">in particular, </w:t>
      </w:r>
      <w:r w:rsidR="00DC0D04" w:rsidRPr="0057157E">
        <w:rPr>
          <w:rFonts w:asciiTheme="minorHAnsi" w:eastAsia="Calibri" w:hAnsiTheme="minorHAnsi" w:cstheme="minorHAnsi"/>
        </w:rPr>
        <w:t xml:space="preserve">to ensure that </w:t>
      </w:r>
      <w:r w:rsidR="008C3101" w:rsidRPr="0057157E">
        <w:rPr>
          <w:rFonts w:asciiTheme="minorHAnsi" w:eastAsia="Calibri" w:hAnsiTheme="minorHAnsi" w:cstheme="minorHAnsi"/>
        </w:rPr>
        <w:t xml:space="preserve">relevant </w:t>
      </w:r>
      <w:r w:rsidR="00DC0D04" w:rsidRPr="0057157E">
        <w:rPr>
          <w:rFonts w:asciiTheme="minorHAnsi" w:eastAsia="Calibri" w:hAnsiTheme="minorHAnsi" w:cstheme="minorHAnsi"/>
        </w:rPr>
        <w:t xml:space="preserve">NFP sector </w:t>
      </w:r>
      <w:r w:rsidR="008C3101" w:rsidRPr="0057157E">
        <w:rPr>
          <w:rFonts w:asciiTheme="minorHAnsi" w:eastAsia="Calibri" w:hAnsiTheme="minorHAnsi" w:cstheme="minorHAnsi"/>
        </w:rPr>
        <w:t>staff and volunteers have Working With Children Checks.</w:t>
      </w:r>
    </w:p>
    <w:p w:rsidR="00946EFF" w:rsidRPr="0057157E" w:rsidRDefault="00514C16" w:rsidP="00F93FB3">
      <w:pPr>
        <w:spacing w:before="120" w:after="120" w:line="240" w:lineRule="auto"/>
        <w:rPr>
          <w:rFonts w:asciiTheme="minorHAnsi" w:eastAsia="Calibri" w:hAnsiTheme="minorHAnsi" w:cstheme="minorHAnsi"/>
        </w:rPr>
      </w:pPr>
      <w:r w:rsidRPr="0057157E">
        <w:rPr>
          <w:rFonts w:asciiTheme="minorHAnsi" w:eastAsia="Calibri" w:hAnsiTheme="minorHAnsi" w:cstheme="minorHAnsi"/>
        </w:rPr>
        <w:t xml:space="preserve">The Partnership considers that </w:t>
      </w:r>
      <w:r w:rsidR="002F3117" w:rsidRPr="0057157E">
        <w:rPr>
          <w:rFonts w:asciiTheme="minorHAnsi" w:eastAsia="Calibri" w:hAnsiTheme="minorHAnsi" w:cstheme="minorHAnsi"/>
        </w:rPr>
        <w:t xml:space="preserve">implementation of </w:t>
      </w:r>
      <w:r w:rsidR="008C3101" w:rsidRPr="0057157E">
        <w:rPr>
          <w:rFonts w:asciiTheme="minorHAnsi" w:eastAsia="Calibri" w:hAnsiTheme="minorHAnsi" w:cstheme="minorHAnsi"/>
        </w:rPr>
        <w:t xml:space="preserve">a national system of Working with Children Checks </w:t>
      </w:r>
      <w:r w:rsidR="00966D34">
        <w:rPr>
          <w:rFonts w:asciiTheme="minorHAnsi" w:eastAsia="Calibri" w:hAnsiTheme="minorHAnsi" w:cstheme="minorHAnsi"/>
        </w:rPr>
        <w:t xml:space="preserve">and Police Checks </w:t>
      </w:r>
      <w:r w:rsidR="00946EFF" w:rsidRPr="0057157E">
        <w:rPr>
          <w:rFonts w:asciiTheme="minorHAnsi" w:eastAsia="Calibri" w:hAnsiTheme="minorHAnsi" w:cstheme="minorHAnsi"/>
        </w:rPr>
        <w:t xml:space="preserve">should be a priority </w:t>
      </w:r>
      <w:r w:rsidR="007246AB" w:rsidRPr="0057157E">
        <w:rPr>
          <w:rFonts w:asciiTheme="minorHAnsi" w:eastAsia="Calibri" w:hAnsiTheme="minorHAnsi" w:cstheme="minorHAnsi"/>
        </w:rPr>
        <w:t xml:space="preserve">for </w:t>
      </w:r>
      <w:r w:rsidRPr="0057157E">
        <w:rPr>
          <w:rFonts w:asciiTheme="minorHAnsi" w:eastAsia="Calibri" w:hAnsiTheme="minorHAnsi" w:cstheme="minorHAnsi"/>
        </w:rPr>
        <w:t xml:space="preserve">the </w:t>
      </w:r>
      <w:r w:rsidR="002F3117" w:rsidRPr="0057157E">
        <w:rPr>
          <w:rFonts w:asciiTheme="minorHAnsi" w:eastAsia="Calibri" w:hAnsiTheme="minorHAnsi" w:cstheme="minorHAnsi"/>
        </w:rPr>
        <w:t xml:space="preserve">NFP </w:t>
      </w:r>
      <w:r w:rsidRPr="0057157E">
        <w:rPr>
          <w:rFonts w:asciiTheme="minorHAnsi" w:eastAsia="Calibri" w:hAnsiTheme="minorHAnsi" w:cstheme="minorHAnsi"/>
        </w:rPr>
        <w:t>sector</w:t>
      </w:r>
      <w:r w:rsidR="008C3101" w:rsidRPr="0057157E">
        <w:rPr>
          <w:rFonts w:asciiTheme="minorHAnsi" w:eastAsia="Calibri" w:hAnsiTheme="minorHAnsi" w:cstheme="minorHAnsi"/>
        </w:rPr>
        <w:t xml:space="preserve">, and that this should </w:t>
      </w:r>
      <w:r w:rsidR="00DC0D04" w:rsidRPr="0057157E">
        <w:rPr>
          <w:rFonts w:asciiTheme="minorHAnsi" w:eastAsia="Calibri" w:hAnsiTheme="minorHAnsi" w:cstheme="minorHAnsi"/>
        </w:rPr>
        <w:t xml:space="preserve">also </w:t>
      </w:r>
      <w:r w:rsidR="008C3101" w:rsidRPr="0057157E">
        <w:rPr>
          <w:rFonts w:asciiTheme="minorHAnsi" w:eastAsia="Calibri" w:hAnsiTheme="minorHAnsi" w:cstheme="minorHAnsi"/>
        </w:rPr>
        <w:t>be extend</w:t>
      </w:r>
      <w:r w:rsidR="002F3117" w:rsidRPr="0057157E">
        <w:rPr>
          <w:rFonts w:asciiTheme="minorHAnsi" w:eastAsia="Calibri" w:hAnsiTheme="minorHAnsi" w:cstheme="minorHAnsi"/>
        </w:rPr>
        <w:t>ed</w:t>
      </w:r>
      <w:r w:rsidR="008C3101" w:rsidRPr="0057157E">
        <w:rPr>
          <w:rFonts w:asciiTheme="minorHAnsi" w:eastAsia="Calibri" w:hAnsiTheme="minorHAnsi" w:cstheme="minorHAnsi"/>
        </w:rPr>
        <w:t xml:space="preserve"> to </w:t>
      </w:r>
      <w:r w:rsidR="002F3117" w:rsidRPr="0057157E">
        <w:rPr>
          <w:rFonts w:asciiTheme="minorHAnsi" w:eastAsia="Calibri" w:hAnsiTheme="minorHAnsi" w:cstheme="minorHAnsi"/>
        </w:rPr>
        <w:t xml:space="preserve">a </w:t>
      </w:r>
      <w:r w:rsidR="00DC0D04" w:rsidRPr="0057157E">
        <w:rPr>
          <w:rFonts w:asciiTheme="minorHAnsi" w:eastAsia="Calibri" w:hAnsiTheme="minorHAnsi" w:cstheme="minorHAnsi"/>
        </w:rPr>
        <w:t xml:space="preserve">national system of </w:t>
      </w:r>
      <w:r w:rsidR="002F3117" w:rsidRPr="0057157E">
        <w:rPr>
          <w:rFonts w:asciiTheme="minorHAnsi" w:eastAsia="Calibri" w:hAnsiTheme="minorHAnsi" w:cstheme="minorHAnsi"/>
        </w:rPr>
        <w:t>c</w:t>
      </w:r>
      <w:r w:rsidR="008C3101" w:rsidRPr="0057157E">
        <w:rPr>
          <w:rFonts w:asciiTheme="minorHAnsi" w:eastAsia="Calibri" w:hAnsiTheme="minorHAnsi" w:cstheme="minorHAnsi"/>
        </w:rPr>
        <w:t>hecks for those working with vulnerable people</w:t>
      </w:r>
      <w:r w:rsidR="007246AB" w:rsidRPr="0057157E">
        <w:rPr>
          <w:rFonts w:asciiTheme="minorHAnsi" w:eastAsia="Calibri" w:hAnsiTheme="minorHAnsi" w:cstheme="minorHAnsi"/>
        </w:rPr>
        <w:t>.</w:t>
      </w:r>
      <w:r w:rsidR="00946EFF" w:rsidRPr="0057157E">
        <w:rPr>
          <w:rFonts w:asciiTheme="minorHAnsi" w:eastAsia="Calibri" w:hAnsiTheme="minorHAnsi" w:cstheme="minorHAnsi"/>
        </w:rPr>
        <w:t xml:space="preserve"> The ACNC can play an important role as the national regulator in ensuring a consistent national system of codes of conducts and good practice for the sector.</w:t>
      </w:r>
    </w:p>
    <w:p w:rsidR="00514C16" w:rsidRPr="0057157E" w:rsidRDefault="00271A7C" w:rsidP="00F93FB3">
      <w:pPr>
        <w:spacing w:before="120" w:after="120" w:line="240" w:lineRule="auto"/>
        <w:rPr>
          <w:rFonts w:asciiTheme="minorHAnsi" w:eastAsia="Calibri" w:hAnsiTheme="minorHAnsi" w:cstheme="minorHAnsi"/>
        </w:rPr>
      </w:pPr>
      <w:r w:rsidRPr="0057157E">
        <w:rPr>
          <w:rFonts w:asciiTheme="minorHAnsi" w:eastAsia="Calibri" w:hAnsiTheme="minorHAnsi" w:cstheme="minorHAnsi"/>
        </w:rPr>
        <w:t>The benefits are t</w:t>
      </w:r>
      <w:r w:rsidR="00514C16" w:rsidRPr="0057157E">
        <w:rPr>
          <w:rFonts w:asciiTheme="minorHAnsi" w:eastAsia="Calibri" w:hAnsiTheme="minorHAnsi" w:cstheme="minorHAnsi"/>
        </w:rPr>
        <w:t>wo-</w:t>
      </w:r>
      <w:r w:rsidRPr="0057157E">
        <w:rPr>
          <w:rFonts w:asciiTheme="minorHAnsi" w:eastAsia="Calibri" w:hAnsiTheme="minorHAnsi" w:cstheme="minorHAnsi"/>
        </w:rPr>
        <w:t>fold in that it meets the need for</w:t>
      </w:r>
      <w:r w:rsidR="00514C16" w:rsidRPr="0057157E">
        <w:rPr>
          <w:rFonts w:asciiTheme="minorHAnsi" w:eastAsia="Calibri" w:hAnsiTheme="minorHAnsi" w:cstheme="minorHAnsi"/>
        </w:rPr>
        <w:t>:</w:t>
      </w:r>
    </w:p>
    <w:p w:rsidR="00514C16" w:rsidRPr="0057157E" w:rsidRDefault="00514C16" w:rsidP="005131E3">
      <w:pPr>
        <w:pStyle w:val="ListParagraph"/>
        <w:numPr>
          <w:ilvl w:val="0"/>
          <w:numId w:val="33"/>
        </w:numPr>
        <w:spacing w:before="120" w:after="120" w:line="240" w:lineRule="auto"/>
        <w:ind w:left="714" w:hanging="357"/>
        <w:contextualSpacing w:val="0"/>
        <w:rPr>
          <w:rFonts w:asciiTheme="minorHAnsi" w:eastAsia="Calibri" w:hAnsiTheme="minorHAnsi" w:cstheme="minorHAnsi"/>
        </w:rPr>
      </w:pPr>
      <w:r w:rsidRPr="0057157E">
        <w:rPr>
          <w:rFonts w:asciiTheme="minorHAnsi" w:eastAsia="Calibri" w:hAnsiTheme="minorHAnsi" w:cstheme="minorHAnsi"/>
        </w:rPr>
        <w:t xml:space="preserve">more streamlined arrangements for NFP entities, reducing red tape for the sector and providing a more efficient and effective national system, eliminating duplication and inconsistencies, </w:t>
      </w:r>
      <w:r w:rsidR="00871443" w:rsidRPr="0057157E">
        <w:rPr>
          <w:rFonts w:asciiTheme="minorHAnsi" w:eastAsia="Calibri" w:hAnsiTheme="minorHAnsi" w:cstheme="minorHAnsi"/>
        </w:rPr>
        <w:t xml:space="preserve">while maintaining </w:t>
      </w:r>
      <w:r w:rsidRPr="0057157E">
        <w:rPr>
          <w:rFonts w:asciiTheme="minorHAnsi" w:eastAsia="Calibri" w:hAnsiTheme="minorHAnsi" w:cstheme="minorHAnsi"/>
        </w:rPr>
        <w:t>public trust and confidence in those institutions</w:t>
      </w:r>
      <w:r w:rsidR="00871443" w:rsidRPr="0057157E">
        <w:rPr>
          <w:rFonts w:asciiTheme="minorHAnsi" w:eastAsia="Calibri" w:hAnsiTheme="minorHAnsi" w:cstheme="minorHAnsi"/>
        </w:rPr>
        <w:t xml:space="preserve"> and NFPs</w:t>
      </w:r>
      <w:r w:rsidRPr="0057157E">
        <w:rPr>
          <w:rFonts w:asciiTheme="minorHAnsi" w:eastAsia="Calibri" w:hAnsiTheme="minorHAnsi" w:cstheme="minorHAnsi"/>
        </w:rPr>
        <w:t xml:space="preserve">, and </w:t>
      </w:r>
    </w:p>
    <w:p w:rsidR="00271A7C" w:rsidRPr="0057157E" w:rsidRDefault="00514C16" w:rsidP="005131E3">
      <w:pPr>
        <w:pStyle w:val="ListParagraph"/>
        <w:numPr>
          <w:ilvl w:val="0"/>
          <w:numId w:val="33"/>
        </w:numPr>
        <w:spacing w:before="120" w:after="120" w:line="240" w:lineRule="auto"/>
        <w:ind w:left="714" w:hanging="357"/>
        <w:contextualSpacing w:val="0"/>
        <w:rPr>
          <w:rFonts w:asciiTheme="minorHAnsi" w:eastAsia="Calibri" w:hAnsiTheme="minorHAnsi" w:cstheme="minorHAnsi"/>
        </w:rPr>
      </w:pPr>
      <w:r w:rsidRPr="0057157E">
        <w:rPr>
          <w:rFonts w:asciiTheme="minorHAnsi" w:eastAsia="Calibri" w:hAnsiTheme="minorHAnsi" w:cstheme="minorHAnsi"/>
        </w:rPr>
        <w:t>more consistent national police checks to help ensure the wellbeing and safety of children and vulnerable people, such as people with disability and the frail older people, in institutional care or receiving services and support from NFP organisations, in particular their staff and volunteers.</w:t>
      </w:r>
    </w:p>
    <w:p w:rsidR="00514C16" w:rsidRPr="00514C16" w:rsidRDefault="00514C16" w:rsidP="00514C16">
      <w:pPr>
        <w:pStyle w:val="ListParagraph"/>
        <w:spacing w:before="120" w:after="120" w:line="240" w:lineRule="auto"/>
        <w:rPr>
          <w:rFonts w:asciiTheme="minorHAnsi" w:eastAsia="Calibri" w:hAnsiTheme="minorHAnsi" w:cstheme="minorHAnsi"/>
        </w:rPr>
      </w:pPr>
    </w:p>
    <w:p w:rsidR="000B61CD" w:rsidRPr="00F31004" w:rsidRDefault="00EB40C6" w:rsidP="0013671B">
      <w:pPr>
        <w:pStyle w:val="ListParagraph"/>
        <w:spacing w:before="120" w:after="120" w:line="240" w:lineRule="auto"/>
        <w:ind w:left="0"/>
        <w:contextualSpacing w:val="0"/>
        <w:rPr>
          <w:rFonts w:asciiTheme="minorHAnsi" w:hAnsiTheme="minorHAnsi" w:cstheme="minorHAnsi"/>
          <w:b/>
          <w:i/>
        </w:rPr>
      </w:pPr>
      <w:r>
        <w:rPr>
          <w:rFonts w:asciiTheme="minorHAnsi" w:hAnsiTheme="minorHAnsi" w:cstheme="minorHAnsi"/>
          <w:b/>
          <w:i/>
        </w:rPr>
        <w:t xml:space="preserve">4.5 </w:t>
      </w:r>
      <w:r w:rsidR="000B61CD" w:rsidRPr="00F31004">
        <w:rPr>
          <w:rFonts w:asciiTheme="minorHAnsi" w:hAnsiTheme="minorHAnsi" w:cstheme="minorHAnsi"/>
          <w:b/>
          <w:i/>
        </w:rPr>
        <w:t>Representation at Council of Australian Governments (COAG)</w:t>
      </w:r>
    </w:p>
    <w:p w:rsidR="000B61CD" w:rsidRPr="00F31004" w:rsidRDefault="00000A7A" w:rsidP="0013671B">
      <w:pPr>
        <w:spacing w:before="120" w:after="120" w:line="240" w:lineRule="auto"/>
        <w:rPr>
          <w:rFonts w:asciiTheme="minorHAnsi" w:eastAsia="Calibri" w:hAnsiTheme="minorHAnsi" w:cstheme="minorHAnsi"/>
        </w:rPr>
      </w:pPr>
      <w:r w:rsidRPr="00F31004">
        <w:rPr>
          <w:rFonts w:asciiTheme="minorHAnsi" w:eastAsia="Calibri" w:hAnsiTheme="minorHAnsi" w:cstheme="minorHAnsi"/>
        </w:rPr>
        <w:t xml:space="preserve">The Partnership consider that the </w:t>
      </w:r>
      <w:r w:rsidR="000B61CD" w:rsidRPr="00F31004">
        <w:rPr>
          <w:rFonts w:asciiTheme="minorHAnsi" w:eastAsia="Calibri" w:hAnsiTheme="minorHAnsi" w:cstheme="minorHAnsi"/>
        </w:rPr>
        <w:t>ACNC having an identified role on COAG would ensure a suite of legislative and practical measures to strengthen a nationally consistent approach to the not-for-profit sector.</w:t>
      </w:r>
    </w:p>
    <w:p w:rsidR="000B61CD" w:rsidRPr="00F31004" w:rsidRDefault="00EB40C6" w:rsidP="0013671B">
      <w:pPr>
        <w:spacing w:before="240" w:after="120" w:line="240" w:lineRule="auto"/>
        <w:rPr>
          <w:rFonts w:asciiTheme="minorHAnsi" w:eastAsia="Calibri" w:hAnsiTheme="minorHAnsi" w:cstheme="minorHAnsi"/>
          <w:b/>
          <w:i/>
        </w:rPr>
      </w:pPr>
      <w:r>
        <w:rPr>
          <w:rFonts w:asciiTheme="minorHAnsi" w:eastAsia="Calibri" w:hAnsiTheme="minorHAnsi" w:cstheme="minorHAnsi"/>
          <w:b/>
          <w:i/>
        </w:rPr>
        <w:t xml:space="preserve">4.6 </w:t>
      </w:r>
      <w:r w:rsidR="000B61CD" w:rsidRPr="00F31004">
        <w:rPr>
          <w:rFonts w:asciiTheme="minorHAnsi" w:eastAsia="Calibri" w:hAnsiTheme="minorHAnsi" w:cstheme="minorHAnsi"/>
          <w:b/>
          <w:i/>
        </w:rPr>
        <w:t>Promotion of common financial reporting</w:t>
      </w:r>
    </w:p>
    <w:p w:rsidR="000B61CD" w:rsidRPr="00F31004" w:rsidRDefault="00000A7A" w:rsidP="0013671B">
      <w:pPr>
        <w:spacing w:before="120" w:after="120" w:line="240" w:lineRule="auto"/>
        <w:rPr>
          <w:rFonts w:asciiTheme="minorHAnsi" w:hAnsiTheme="minorHAnsi" w:cstheme="minorHAnsi"/>
        </w:rPr>
      </w:pPr>
      <w:r w:rsidRPr="00F31004">
        <w:rPr>
          <w:rFonts w:asciiTheme="minorHAnsi" w:hAnsiTheme="minorHAnsi" w:cstheme="minorHAnsi"/>
        </w:rPr>
        <w:t xml:space="preserve">The Partnership agrees that the </w:t>
      </w:r>
      <w:r w:rsidR="000B61CD" w:rsidRPr="00F31004">
        <w:rPr>
          <w:rFonts w:asciiTheme="minorHAnsi" w:hAnsiTheme="minorHAnsi" w:cstheme="minorHAnsi"/>
        </w:rPr>
        <w:t xml:space="preserve">ACNC is the appropriate organisation to encourage </w:t>
      </w:r>
      <w:r w:rsidR="00407101">
        <w:rPr>
          <w:rFonts w:asciiTheme="minorHAnsi" w:hAnsiTheme="minorHAnsi" w:cstheme="minorHAnsi"/>
        </w:rPr>
        <w:t xml:space="preserve">the </w:t>
      </w:r>
      <w:r w:rsidR="000B61CD" w:rsidRPr="00F31004">
        <w:rPr>
          <w:rFonts w:asciiTheme="minorHAnsi" w:hAnsiTheme="minorHAnsi" w:cstheme="minorHAnsi"/>
        </w:rPr>
        <w:t>Australian Accounting Standards Board to develop an appropriate agreed standard of financial reporting protocols for the sector.  Currently no standard exists, and it is very difficult for any interested parties to compare the relative financ</w:t>
      </w:r>
      <w:r w:rsidR="0060629D">
        <w:rPr>
          <w:rFonts w:asciiTheme="minorHAnsi" w:hAnsiTheme="minorHAnsi" w:cstheme="minorHAnsi"/>
        </w:rPr>
        <w:t>ial</w:t>
      </w:r>
      <w:r w:rsidR="000B61CD" w:rsidRPr="00F31004">
        <w:rPr>
          <w:rFonts w:asciiTheme="minorHAnsi" w:hAnsiTheme="minorHAnsi" w:cstheme="minorHAnsi"/>
        </w:rPr>
        <w:t xml:space="preserve"> performance of charities.  Specific accounting provisions for the </w:t>
      </w:r>
      <w:r w:rsidR="000B0012">
        <w:rPr>
          <w:rFonts w:asciiTheme="minorHAnsi" w:hAnsiTheme="minorHAnsi" w:cstheme="minorHAnsi"/>
        </w:rPr>
        <w:t>NFP</w:t>
      </w:r>
      <w:r w:rsidR="000B61CD" w:rsidRPr="00F31004">
        <w:rPr>
          <w:rFonts w:asciiTheme="minorHAnsi" w:hAnsiTheme="minorHAnsi" w:cstheme="minorHAnsi"/>
        </w:rPr>
        <w:t xml:space="preserve"> sectors have been agreed in the Singapore and New Zealand jurisdictions.  This is particularly relevant in relation to the reporting of consolidated accounts.</w:t>
      </w:r>
    </w:p>
    <w:p w:rsidR="00227FC8" w:rsidRPr="00F31004" w:rsidRDefault="00EB40C6" w:rsidP="0013671B">
      <w:pPr>
        <w:pStyle w:val="ListParagraph"/>
        <w:spacing w:before="240" w:after="120" w:line="240" w:lineRule="auto"/>
        <w:ind w:left="0"/>
        <w:contextualSpacing w:val="0"/>
        <w:rPr>
          <w:rFonts w:asciiTheme="minorHAnsi" w:hAnsiTheme="minorHAnsi" w:cstheme="minorHAnsi"/>
          <w:b/>
          <w:i/>
        </w:rPr>
      </w:pPr>
      <w:r>
        <w:rPr>
          <w:rFonts w:asciiTheme="minorHAnsi" w:hAnsiTheme="minorHAnsi" w:cstheme="minorHAnsi"/>
          <w:b/>
          <w:i/>
        </w:rPr>
        <w:t xml:space="preserve">4.7 </w:t>
      </w:r>
      <w:r w:rsidR="00227FC8" w:rsidRPr="00F31004">
        <w:rPr>
          <w:rFonts w:asciiTheme="minorHAnsi" w:hAnsiTheme="minorHAnsi" w:cstheme="minorHAnsi"/>
          <w:b/>
          <w:i/>
        </w:rPr>
        <w:t>Overlap between the ACNC Acts and Corporations Law</w:t>
      </w:r>
    </w:p>
    <w:p w:rsidR="00227FC8" w:rsidRPr="00F31004" w:rsidRDefault="00227FC8" w:rsidP="0013671B">
      <w:pPr>
        <w:spacing w:before="120" w:after="120" w:line="240" w:lineRule="auto"/>
        <w:rPr>
          <w:rFonts w:asciiTheme="minorHAnsi" w:hAnsiTheme="minorHAnsi" w:cstheme="minorHAnsi"/>
        </w:rPr>
      </w:pPr>
      <w:r w:rsidRPr="00F31004">
        <w:rPr>
          <w:rFonts w:asciiTheme="minorHAnsi" w:hAnsiTheme="minorHAnsi" w:cstheme="minorHAnsi"/>
        </w:rPr>
        <w:t>The Partnership recommends that a review of the technical overlap between the ACNC Acts and Corporations Law be completed to ensure consistency between each.</w:t>
      </w:r>
    </w:p>
    <w:p w:rsidR="00BC5E46" w:rsidRPr="00F31004" w:rsidRDefault="00EB40C6" w:rsidP="0013671B">
      <w:pPr>
        <w:spacing w:before="240" w:after="120" w:line="240" w:lineRule="auto"/>
        <w:rPr>
          <w:rFonts w:asciiTheme="minorHAnsi" w:eastAsia="Calibri" w:hAnsiTheme="minorHAnsi" w:cstheme="minorHAnsi"/>
          <w:b/>
          <w:i/>
        </w:rPr>
      </w:pPr>
      <w:r>
        <w:rPr>
          <w:rFonts w:asciiTheme="minorHAnsi" w:eastAsia="Calibri" w:hAnsiTheme="minorHAnsi" w:cstheme="minorHAnsi"/>
          <w:b/>
          <w:i/>
        </w:rPr>
        <w:t xml:space="preserve">4.8 </w:t>
      </w:r>
      <w:r w:rsidR="00BC5E46" w:rsidRPr="00F31004">
        <w:rPr>
          <w:rFonts w:asciiTheme="minorHAnsi" w:eastAsia="Calibri" w:hAnsiTheme="minorHAnsi" w:cstheme="minorHAnsi"/>
          <w:b/>
          <w:i/>
        </w:rPr>
        <w:t>Mandatory use of ACNC Charity Passport by Government</w:t>
      </w:r>
    </w:p>
    <w:p w:rsidR="00BC5E46" w:rsidRPr="00F31004" w:rsidRDefault="00000A7A" w:rsidP="0013671B">
      <w:pPr>
        <w:spacing w:before="120" w:after="120" w:line="240" w:lineRule="auto"/>
        <w:rPr>
          <w:rFonts w:asciiTheme="minorHAnsi" w:eastAsia="Calibri" w:hAnsiTheme="minorHAnsi" w:cstheme="minorHAnsi"/>
        </w:rPr>
      </w:pPr>
      <w:r w:rsidRPr="00F31004">
        <w:rPr>
          <w:rFonts w:asciiTheme="minorHAnsi" w:eastAsia="Calibri" w:hAnsiTheme="minorHAnsi" w:cstheme="minorHAnsi"/>
        </w:rPr>
        <w:t>The Partnership suggest</w:t>
      </w:r>
      <w:r w:rsidR="000B0012">
        <w:rPr>
          <w:rFonts w:asciiTheme="minorHAnsi" w:eastAsia="Calibri" w:hAnsiTheme="minorHAnsi" w:cstheme="minorHAnsi"/>
        </w:rPr>
        <w:t>s</w:t>
      </w:r>
      <w:r w:rsidRPr="00F31004">
        <w:rPr>
          <w:rFonts w:asciiTheme="minorHAnsi" w:eastAsia="Calibri" w:hAnsiTheme="minorHAnsi" w:cstheme="minorHAnsi"/>
        </w:rPr>
        <w:t xml:space="preserve"> that the </w:t>
      </w:r>
      <w:r w:rsidR="00BC5E46" w:rsidRPr="00F31004">
        <w:rPr>
          <w:rFonts w:asciiTheme="minorHAnsi" w:eastAsia="Calibri" w:hAnsiTheme="minorHAnsi" w:cstheme="minorHAnsi"/>
        </w:rPr>
        <w:t>ACNC Charity Passport enables authorised government agencies to access ACNC charity data via a file protocol process to reduce red tape for charities. By allowing agencies to access charity data directly from ACNC, the Charity Passport reduces the amount of information that charities must provide to different government agencies, in line with a ‘report once, use often’ reporting framework.</w:t>
      </w:r>
    </w:p>
    <w:p w:rsidR="00096F71" w:rsidRDefault="00E74E0C" w:rsidP="0013671B">
      <w:pPr>
        <w:spacing w:before="120" w:after="120" w:line="240" w:lineRule="auto"/>
        <w:rPr>
          <w:rFonts w:asciiTheme="minorHAnsi" w:eastAsia="Calibri" w:hAnsiTheme="minorHAnsi" w:cstheme="minorHAnsi"/>
        </w:rPr>
      </w:pPr>
      <w:r>
        <w:rPr>
          <w:rFonts w:asciiTheme="minorHAnsi" w:eastAsia="Calibri" w:hAnsiTheme="minorHAnsi" w:cstheme="minorHAnsi"/>
        </w:rPr>
        <w:t xml:space="preserve">The </w:t>
      </w:r>
      <w:r w:rsidR="00BC5E46" w:rsidRPr="00F31004">
        <w:rPr>
          <w:rFonts w:asciiTheme="minorHAnsi" w:eastAsia="Calibri" w:hAnsiTheme="minorHAnsi" w:cstheme="minorHAnsi"/>
        </w:rPr>
        <w:t xml:space="preserve">ACNC Charity Passport has 71 users across 17 agencies.  There is considerable opportunity to increase the use of the service, and </w:t>
      </w:r>
      <w:r w:rsidR="00000A7A" w:rsidRPr="00F31004">
        <w:rPr>
          <w:rFonts w:asciiTheme="minorHAnsi" w:eastAsia="Calibri" w:hAnsiTheme="minorHAnsi" w:cstheme="minorHAnsi"/>
        </w:rPr>
        <w:t xml:space="preserve">there is the potential to </w:t>
      </w:r>
      <w:r w:rsidR="00BC5E46" w:rsidRPr="00F31004">
        <w:rPr>
          <w:rFonts w:asciiTheme="minorHAnsi" w:eastAsia="Calibri" w:hAnsiTheme="minorHAnsi" w:cstheme="minorHAnsi"/>
        </w:rPr>
        <w:t>us</w:t>
      </w:r>
      <w:r w:rsidR="00000A7A" w:rsidRPr="00F31004">
        <w:rPr>
          <w:rFonts w:asciiTheme="minorHAnsi" w:eastAsia="Calibri" w:hAnsiTheme="minorHAnsi" w:cstheme="minorHAnsi"/>
        </w:rPr>
        <w:t>e</w:t>
      </w:r>
      <w:r w:rsidR="00BC5E46" w:rsidRPr="00F31004">
        <w:rPr>
          <w:rFonts w:asciiTheme="minorHAnsi" w:eastAsia="Calibri" w:hAnsiTheme="minorHAnsi" w:cstheme="minorHAnsi"/>
        </w:rPr>
        <w:t xml:space="preserve"> the Charity Passport </w:t>
      </w:r>
      <w:r w:rsidR="00000A7A" w:rsidRPr="00F31004">
        <w:rPr>
          <w:rFonts w:asciiTheme="minorHAnsi" w:eastAsia="Calibri" w:hAnsiTheme="minorHAnsi" w:cstheme="minorHAnsi"/>
        </w:rPr>
        <w:t xml:space="preserve">as a </w:t>
      </w:r>
      <w:r w:rsidR="00BC5E46" w:rsidRPr="00F31004">
        <w:rPr>
          <w:rFonts w:asciiTheme="minorHAnsi" w:eastAsia="Calibri" w:hAnsiTheme="minorHAnsi" w:cstheme="minorHAnsi"/>
        </w:rPr>
        <w:t xml:space="preserve">mandatory </w:t>
      </w:r>
      <w:r w:rsidR="00000A7A" w:rsidRPr="00F31004">
        <w:rPr>
          <w:rFonts w:asciiTheme="minorHAnsi" w:eastAsia="Calibri" w:hAnsiTheme="minorHAnsi" w:cstheme="minorHAnsi"/>
        </w:rPr>
        <w:t xml:space="preserve">requirement for funding purposes </w:t>
      </w:r>
      <w:r w:rsidR="00BC5E46" w:rsidRPr="00F31004">
        <w:rPr>
          <w:rFonts w:asciiTheme="minorHAnsi" w:eastAsia="Calibri" w:hAnsiTheme="minorHAnsi" w:cstheme="minorHAnsi"/>
        </w:rPr>
        <w:t xml:space="preserve">across Commonwealth Government, </w:t>
      </w:r>
      <w:r w:rsidR="00000A7A" w:rsidRPr="00F31004">
        <w:rPr>
          <w:rFonts w:asciiTheme="minorHAnsi" w:eastAsia="Calibri" w:hAnsiTheme="minorHAnsi" w:cstheme="minorHAnsi"/>
        </w:rPr>
        <w:t xml:space="preserve">for example </w:t>
      </w:r>
      <w:r w:rsidR="00BC5E46" w:rsidRPr="00F31004">
        <w:rPr>
          <w:rFonts w:asciiTheme="minorHAnsi" w:eastAsia="Calibri" w:hAnsiTheme="minorHAnsi" w:cstheme="minorHAnsi"/>
        </w:rPr>
        <w:t xml:space="preserve">in the assessment of grant applications by the Department of Social Services Community Grants Hub. </w:t>
      </w:r>
      <w:r w:rsidR="00000A7A" w:rsidRPr="00F31004">
        <w:rPr>
          <w:rFonts w:asciiTheme="minorHAnsi" w:eastAsia="Calibri" w:hAnsiTheme="minorHAnsi" w:cstheme="minorHAnsi"/>
        </w:rPr>
        <w:t xml:space="preserve"> </w:t>
      </w:r>
    </w:p>
    <w:p w:rsidR="00BC5E46" w:rsidRPr="00F31004" w:rsidRDefault="00BC5E46" w:rsidP="0013671B">
      <w:pPr>
        <w:spacing w:before="120" w:after="120" w:line="240" w:lineRule="auto"/>
        <w:rPr>
          <w:rFonts w:asciiTheme="minorHAnsi" w:eastAsia="Calibri" w:hAnsiTheme="minorHAnsi" w:cstheme="minorHAnsi"/>
        </w:rPr>
      </w:pPr>
      <w:r w:rsidRPr="00F31004">
        <w:rPr>
          <w:rFonts w:asciiTheme="minorHAnsi" w:eastAsia="Calibri" w:hAnsiTheme="minorHAnsi" w:cstheme="minorHAnsi"/>
        </w:rPr>
        <w:t xml:space="preserve">Organisations that are not charities would not be disadvantaged, and could apply </w:t>
      </w:r>
      <w:r w:rsidR="00301DFD">
        <w:rPr>
          <w:rFonts w:asciiTheme="minorHAnsi" w:eastAsia="Calibri" w:hAnsiTheme="minorHAnsi" w:cstheme="minorHAnsi"/>
        </w:rPr>
        <w:t xml:space="preserve">for </w:t>
      </w:r>
      <w:r w:rsidRPr="00F31004">
        <w:rPr>
          <w:rFonts w:asciiTheme="minorHAnsi" w:eastAsia="Calibri" w:hAnsiTheme="minorHAnsi" w:cstheme="minorHAnsi"/>
        </w:rPr>
        <w:t xml:space="preserve">and acquit grants as normal, however charities would be relieved from providing information to government that is already held by </w:t>
      </w:r>
      <w:r w:rsidR="00C645F4">
        <w:rPr>
          <w:rFonts w:asciiTheme="minorHAnsi" w:eastAsia="Calibri" w:hAnsiTheme="minorHAnsi" w:cstheme="minorHAnsi"/>
        </w:rPr>
        <w:t xml:space="preserve">the </w:t>
      </w:r>
      <w:r w:rsidRPr="00F31004">
        <w:rPr>
          <w:rFonts w:asciiTheme="minorHAnsi" w:eastAsia="Calibri" w:hAnsiTheme="minorHAnsi" w:cstheme="minorHAnsi"/>
        </w:rPr>
        <w:t xml:space="preserve">ACNC. </w:t>
      </w:r>
    </w:p>
    <w:p w:rsidR="009A0747" w:rsidRDefault="009A0747" w:rsidP="0013671B">
      <w:pPr>
        <w:spacing w:before="120" w:after="120" w:line="240" w:lineRule="auto"/>
        <w:rPr>
          <w:rFonts w:asciiTheme="minorHAnsi" w:eastAsia="Calibri" w:hAnsiTheme="minorHAnsi" w:cstheme="minorHAnsi"/>
        </w:rPr>
      </w:pPr>
      <w:r w:rsidRPr="00F31004">
        <w:rPr>
          <w:rFonts w:asciiTheme="minorHAnsi" w:eastAsia="Calibri" w:hAnsiTheme="minorHAnsi" w:cstheme="minorHAnsi"/>
        </w:rPr>
        <w:t>This is consistent with the ACNC Recommendation 20 that, “That the Commonwealth government promote the use of the ACNC’s charity passport by Commonwealth, State and Territory agencies so as to reduce the regulatory burden on charities.”</w:t>
      </w:r>
    </w:p>
    <w:p w:rsidR="00B16D8B" w:rsidRPr="00C87D2E" w:rsidRDefault="00B03488" w:rsidP="00B16D8B">
      <w:pPr>
        <w:spacing w:before="120" w:after="120" w:line="240" w:lineRule="auto"/>
        <w:rPr>
          <w:rFonts w:asciiTheme="minorHAnsi" w:eastAsia="Calibri" w:hAnsiTheme="minorHAnsi" w:cstheme="minorHAnsi"/>
        </w:rPr>
      </w:pPr>
      <w:r w:rsidRPr="00C87D2E">
        <w:rPr>
          <w:rFonts w:asciiTheme="minorHAnsi" w:eastAsia="Calibri" w:hAnsiTheme="minorHAnsi" w:cstheme="minorHAnsi"/>
        </w:rPr>
        <w:t xml:space="preserve">The Partnership considers that a national Volunteer Passport </w:t>
      </w:r>
      <w:r w:rsidR="00387475" w:rsidRPr="00C87D2E">
        <w:rPr>
          <w:rFonts w:asciiTheme="minorHAnsi" w:eastAsia="Calibri" w:hAnsiTheme="minorHAnsi" w:cstheme="minorHAnsi"/>
        </w:rPr>
        <w:t>c</w:t>
      </w:r>
      <w:r w:rsidRPr="00C87D2E">
        <w:rPr>
          <w:rFonts w:asciiTheme="minorHAnsi" w:eastAsia="Calibri" w:hAnsiTheme="minorHAnsi" w:cstheme="minorHAnsi"/>
        </w:rPr>
        <w:t>ould offer benefits in streamlined arrangements for NFP entities, reducing red tape for the sector and in attracting and retaining volunteers in the sector.</w:t>
      </w:r>
      <w:r w:rsidR="005321E2" w:rsidRPr="00C87D2E">
        <w:rPr>
          <w:rFonts w:asciiTheme="minorHAnsi" w:eastAsia="Calibri" w:hAnsiTheme="minorHAnsi" w:cstheme="minorHAnsi"/>
        </w:rPr>
        <w:t xml:space="preserve"> Volunteer Passport schemes are in u</w:t>
      </w:r>
      <w:r w:rsidR="00490CFD">
        <w:rPr>
          <w:rFonts w:asciiTheme="minorHAnsi" w:eastAsia="Calibri" w:hAnsiTheme="minorHAnsi" w:cstheme="minorHAnsi"/>
        </w:rPr>
        <w:t>se across the UK and in France.</w:t>
      </w:r>
    </w:p>
    <w:p w:rsidR="00B16D8B" w:rsidRPr="00C87D2E" w:rsidRDefault="00B16D8B" w:rsidP="00B16D8B">
      <w:pPr>
        <w:spacing w:before="120" w:after="120" w:line="240" w:lineRule="auto"/>
        <w:rPr>
          <w:rFonts w:asciiTheme="minorHAnsi" w:eastAsia="Calibri" w:hAnsiTheme="minorHAnsi" w:cstheme="minorHAnsi"/>
        </w:rPr>
      </w:pPr>
      <w:r w:rsidRPr="00C87D2E">
        <w:rPr>
          <w:rFonts w:asciiTheme="minorHAnsi" w:eastAsia="Calibri" w:hAnsiTheme="minorHAnsi" w:cstheme="minorHAnsi"/>
        </w:rPr>
        <w:t>The French Volunteer Passport (France Bénévolat)</w:t>
      </w:r>
      <w:r w:rsidRPr="00C87D2E">
        <w:rPr>
          <w:rStyle w:val="Heading3Char"/>
          <w:rFonts w:asciiTheme="minorHAnsi" w:eastAsia="Calibri" w:hAnsiTheme="minorHAnsi" w:cstheme="minorHAnsi"/>
        </w:rPr>
        <w:t xml:space="preserve"> </w:t>
      </w:r>
      <w:r w:rsidRPr="00C87D2E">
        <w:rPr>
          <w:rStyle w:val="FootnoteReference"/>
          <w:rFonts w:asciiTheme="minorHAnsi" w:eastAsia="Calibri" w:hAnsiTheme="minorHAnsi" w:cstheme="minorHAnsi"/>
        </w:rPr>
        <w:footnoteReference w:id="27"/>
      </w:r>
      <w:r w:rsidRPr="00C87D2E">
        <w:rPr>
          <w:rFonts w:asciiTheme="minorHAnsi" w:eastAsia="Calibri" w:hAnsiTheme="minorHAnsi" w:cstheme="minorHAnsi"/>
        </w:rPr>
        <w:t xml:space="preserve"> creates a link between the volunteer and NFP organisations.</w:t>
      </w:r>
      <w:r w:rsidR="00387475" w:rsidRPr="00C87D2E">
        <w:rPr>
          <w:rFonts w:asciiTheme="minorHAnsi" w:eastAsia="Calibri" w:hAnsiTheme="minorHAnsi" w:cstheme="minorHAnsi"/>
        </w:rPr>
        <w:t xml:space="preserve"> </w:t>
      </w:r>
      <w:r w:rsidRPr="00C87D2E">
        <w:rPr>
          <w:rFonts w:asciiTheme="minorHAnsi" w:eastAsia="Calibri" w:hAnsiTheme="minorHAnsi" w:cstheme="minorHAnsi"/>
        </w:rPr>
        <w:t xml:space="preserve"> The passport follows the volunteer throughout their volunteering career</w:t>
      </w:r>
      <w:r w:rsidR="00387475" w:rsidRPr="00C87D2E">
        <w:rPr>
          <w:rFonts w:asciiTheme="minorHAnsi" w:eastAsia="Calibri" w:hAnsiTheme="minorHAnsi" w:cstheme="minorHAnsi"/>
        </w:rPr>
        <w:t xml:space="preserve">.  </w:t>
      </w:r>
      <w:r w:rsidRPr="00C87D2E">
        <w:rPr>
          <w:rFonts w:asciiTheme="minorHAnsi" w:eastAsia="Calibri" w:hAnsiTheme="minorHAnsi" w:cstheme="minorHAnsi"/>
        </w:rPr>
        <w:t xml:space="preserve"> The main target groups for the volunteer passport scheme are young people, employees looking for a change of career, and unemployed people seeking to develop their skills and experience.</w:t>
      </w:r>
    </w:p>
    <w:p w:rsidR="00B16D8B" w:rsidRPr="00C87D2E" w:rsidRDefault="00B16D8B" w:rsidP="00B16D8B">
      <w:pPr>
        <w:spacing w:before="120" w:after="120" w:line="240" w:lineRule="auto"/>
        <w:rPr>
          <w:rFonts w:asciiTheme="minorHAnsi" w:eastAsia="Calibri" w:hAnsiTheme="minorHAnsi" w:cstheme="minorHAnsi"/>
        </w:rPr>
      </w:pPr>
      <w:r w:rsidRPr="00C87D2E">
        <w:rPr>
          <w:rFonts w:asciiTheme="minorHAnsi" w:eastAsia="Calibri" w:hAnsiTheme="minorHAnsi" w:cstheme="minorHAnsi"/>
        </w:rPr>
        <w:t>The purpose of the passport is to:</w:t>
      </w:r>
    </w:p>
    <w:p w:rsidR="00B16D8B" w:rsidRPr="00C87D2E" w:rsidRDefault="00B16D8B" w:rsidP="00B16D8B">
      <w:pPr>
        <w:pStyle w:val="ListParagraph"/>
        <w:numPr>
          <w:ilvl w:val="0"/>
          <w:numId w:val="41"/>
        </w:numPr>
        <w:spacing w:before="120" w:after="120" w:line="240" w:lineRule="auto"/>
        <w:ind w:left="714" w:hanging="357"/>
        <w:contextualSpacing w:val="0"/>
        <w:rPr>
          <w:rFonts w:asciiTheme="minorHAnsi" w:eastAsia="Calibri" w:hAnsiTheme="minorHAnsi" w:cstheme="minorHAnsi"/>
        </w:rPr>
      </w:pPr>
      <w:r w:rsidRPr="00C87D2E">
        <w:rPr>
          <w:rFonts w:asciiTheme="minorHAnsi" w:eastAsia="Calibri" w:hAnsiTheme="minorHAnsi" w:cstheme="minorHAnsi"/>
        </w:rPr>
        <w:t>list and describe each role the volunteer undertakes</w:t>
      </w:r>
    </w:p>
    <w:p w:rsidR="00B16D8B" w:rsidRPr="00C87D2E" w:rsidRDefault="00B16D8B" w:rsidP="00B16D8B">
      <w:pPr>
        <w:pStyle w:val="ListParagraph"/>
        <w:numPr>
          <w:ilvl w:val="0"/>
          <w:numId w:val="41"/>
        </w:numPr>
        <w:spacing w:before="120" w:after="120" w:line="240" w:lineRule="auto"/>
        <w:ind w:left="714" w:hanging="357"/>
        <w:contextualSpacing w:val="0"/>
        <w:rPr>
          <w:rFonts w:asciiTheme="minorHAnsi" w:eastAsia="Calibri" w:hAnsiTheme="minorHAnsi" w:cstheme="minorHAnsi"/>
        </w:rPr>
      </w:pPr>
      <w:r w:rsidRPr="00C87D2E">
        <w:rPr>
          <w:rFonts w:asciiTheme="minorHAnsi" w:eastAsia="Calibri" w:hAnsiTheme="minorHAnsi" w:cstheme="minorHAnsi"/>
        </w:rPr>
        <w:t>document any training undertaken by the volunteer</w:t>
      </w:r>
    </w:p>
    <w:p w:rsidR="00B16D8B" w:rsidRPr="00C87D2E" w:rsidRDefault="00B16D8B" w:rsidP="00B16D8B">
      <w:pPr>
        <w:pStyle w:val="ListParagraph"/>
        <w:numPr>
          <w:ilvl w:val="0"/>
          <w:numId w:val="41"/>
        </w:numPr>
        <w:spacing w:before="120" w:after="120" w:line="240" w:lineRule="auto"/>
        <w:ind w:left="714" w:hanging="357"/>
        <w:contextualSpacing w:val="0"/>
        <w:rPr>
          <w:rFonts w:asciiTheme="minorHAnsi" w:eastAsia="Calibri" w:hAnsiTheme="minorHAnsi" w:cstheme="minorHAnsi"/>
        </w:rPr>
      </w:pPr>
      <w:r w:rsidRPr="00C87D2E">
        <w:rPr>
          <w:rFonts w:asciiTheme="minorHAnsi" w:eastAsia="Calibri" w:hAnsiTheme="minorHAnsi" w:cstheme="minorHAnsi"/>
        </w:rPr>
        <w:t>integrate these elements in a profile of the volunteer, and</w:t>
      </w:r>
    </w:p>
    <w:p w:rsidR="00B16D8B" w:rsidRPr="00C87D2E" w:rsidRDefault="00B16D8B" w:rsidP="00B16D8B">
      <w:pPr>
        <w:pStyle w:val="ListParagraph"/>
        <w:numPr>
          <w:ilvl w:val="0"/>
          <w:numId w:val="41"/>
        </w:numPr>
        <w:spacing w:before="120" w:after="120" w:line="240" w:lineRule="auto"/>
        <w:ind w:left="714" w:hanging="357"/>
        <w:contextualSpacing w:val="0"/>
        <w:rPr>
          <w:rFonts w:asciiTheme="minorHAnsi" w:eastAsia="Calibri" w:hAnsiTheme="minorHAnsi" w:cstheme="minorHAnsi"/>
        </w:rPr>
      </w:pPr>
      <w:r w:rsidRPr="00C87D2E">
        <w:rPr>
          <w:rFonts w:asciiTheme="minorHAnsi" w:eastAsia="Calibri" w:hAnsiTheme="minorHAnsi" w:cstheme="minorHAnsi"/>
        </w:rPr>
        <w:t>accredit the skills and competences developed through volunteering.</w:t>
      </w:r>
    </w:p>
    <w:p w:rsidR="00B16D8B" w:rsidRPr="00C87D2E" w:rsidRDefault="00B16D8B" w:rsidP="00B16D8B">
      <w:pPr>
        <w:spacing w:before="120" w:after="120" w:line="240" w:lineRule="auto"/>
        <w:rPr>
          <w:rFonts w:asciiTheme="minorHAnsi" w:eastAsia="Calibri" w:hAnsiTheme="minorHAnsi" w:cstheme="minorHAnsi"/>
        </w:rPr>
      </w:pPr>
      <w:r w:rsidRPr="00C87D2E">
        <w:rPr>
          <w:rFonts w:asciiTheme="minorHAnsi" w:eastAsia="Calibri" w:hAnsiTheme="minorHAnsi" w:cstheme="minorHAnsi"/>
        </w:rPr>
        <w:t>The passport consists of a set of records containing:</w:t>
      </w:r>
    </w:p>
    <w:p w:rsidR="00B16D8B" w:rsidRPr="00C87D2E" w:rsidRDefault="00B16D8B" w:rsidP="00B16D8B">
      <w:pPr>
        <w:pStyle w:val="ListParagraph"/>
        <w:numPr>
          <w:ilvl w:val="0"/>
          <w:numId w:val="41"/>
        </w:numPr>
        <w:spacing w:before="120" w:after="120" w:line="240" w:lineRule="auto"/>
        <w:ind w:left="714" w:hanging="357"/>
        <w:contextualSpacing w:val="0"/>
        <w:rPr>
          <w:rFonts w:asciiTheme="minorHAnsi" w:eastAsia="Calibri" w:hAnsiTheme="minorHAnsi" w:cstheme="minorHAnsi"/>
        </w:rPr>
      </w:pPr>
      <w:r w:rsidRPr="00C87D2E">
        <w:rPr>
          <w:rFonts w:asciiTheme="minorHAnsi" w:eastAsia="Calibri" w:hAnsiTheme="minorHAnsi" w:cstheme="minorHAnsi"/>
        </w:rPr>
        <w:t>details about the individual volunteer</w:t>
      </w:r>
    </w:p>
    <w:p w:rsidR="00B16D8B" w:rsidRPr="00C87D2E" w:rsidRDefault="00B16D8B" w:rsidP="00B16D8B">
      <w:pPr>
        <w:pStyle w:val="ListParagraph"/>
        <w:numPr>
          <w:ilvl w:val="0"/>
          <w:numId w:val="41"/>
        </w:numPr>
        <w:spacing w:before="120" w:after="120" w:line="240" w:lineRule="auto"/>
        <w:ind w:left="714" w:hanging="357"/>
        <w:contextualSpacing w:val="0"/>
        <w:rPr>
          <w:rFonts w:asciiTheme="minorHAnsi" w:eastAsia="Calibri" w:hAnsiTheme="minorHAnsi" w:cstheme="minorHAnsi"/>
        </w:rPr>
      </w:pPr>
      <w:r w:rsidRPr="00C87D2E">
        <w:rPr>
          <w:rFonts w:asciiTheme="minorHAnsi" w:eastAsia="Calibri" w:hAnsiTheme="minorHAnsi" w:cstheme="minorHAnsi"/>
        </w:rPr>
        <w:t>details on the volunteering assignment (description, skills developed, any special notes);</w:t>
      </w:r>
    </w:p>
    <w:p w:rsidR="00B16D8B" w:rsidRPr="00C87D2E" w:rsidRDefault="00B16D8B" w:rsidP="00B16D8B">
      <w:pPr>
        <w:pStyle w:val="ListParagraph"/>
        <w:numPr>
          <w:ilvl w:val="0"/>
          <w:numId w:val="41"/>
        </w:numPr>
        <w:spacing w:before="120" w:after="120" w:line="240" w:lineRule="auto"/>
        <w:ind w:left="714" w:hanging="357"/>
        <w:contextualSpacing w:val="0"/>
        <w:rPr>
          <w:rFonts w:asciiTheme="minorHAnsi" w:eastAsia="Calibri" w:hAnsiTheme="minorHAnsi" w:cstheme="minorHAnsi"/>
        </w:rPr>
      </w:pPr>
      <w:r w:rsidRPr="00C87D2E">
        <w:rPr>
          <w:rFonts w:asciiTheme="minorHAnsi" w:eastAsia="Calibri" w:hAnsiTheme="minorHAnsi" w:cstheme="minorHAnsi"/>
        </w:rPr>
        <w:t>details of any certificates awarded by the organisation (including a description of the achievement, skills developed, any special notes)</w:t>
      </w:r>
    </w:p>
    <w:p w:rsidR="00B16D8B" w:rsidRPr="00C87D2E" w:rsidRDefault="00B16D8B" w:rsidP="00B16D8B">
      <w:pPr>
        <w:pStyle w:val="ListParagraph"/>
        <w:numPr>
          <w:ilvl w:val="0"/>
          <w:numId w:val="41"/>
        </w:numPr>
        <w:spacing w:before="120" w:after="120" w:line="240" w:lineRule="auto"/>
        <w:ind w:left="714" w:hanging="357"/>
        <w:contextualSpacing w:val="0"/>
        <w:rPr>
          <w:rFonts w:asciiTheme="minorHAnsi" w:eastAsia="Calibri" w:hAnsiTheme="minorHAnsi" w:cstheme="minorHAnsi"/>
        </w:rPr>
      </w:pPr>
      <w:r w:rsidRPr="00C87D2E">
        <w:rPr>
          <w:rFonts w:asciiTheme="minorHAnsi" w:eastAsia="Calibri" w:hAnsiTheme="minorHAnsi" w:cstheme="minorHAnsi"/>
        </w:rPr>
        <w:t>a schedule of all the volunteering roles undertaken by the individual, and</w:t>
      </w:r>
    </w:p>
    <w:p w:rsidR="00B16D8B" w:rsidRPr="00C87D2E" w:rsidRDefault="00B16D8B" w:rsidP="00B16D8B">
      <w:pPr>
        <w:pStyle w:val="ListParagraph"/>
        <w:numPr>
          <w:ilvl w:val="0"/>
          <w:numId w:val="41"/>
        </w:numPr>
        <w:spacing w:before="120" w:after="120" w:line="240" w:lineRule="auto"/>
        <w:ind w:left="714" w:hanging="357"/>
        <w:contextualSpacing w:val="0"/>
        <w:rPr>
          <w:rFonts w:asciiTheme="minorHAnsi" w:eastAsia="Calibri" w:hAnsiTheme="minorHAnsi" w:cstheme="minorHAnsi"/>
        </w:rPr>
      </w:pPr>
      <w:r w:rsidRPr="00C87D2E">
        <w:rPr>
          <w:rFonts w:asciiTheme="minorHAnsi" w:eastAsia="Calibri" w:hAnsiTheme="minorHAnsi" w:cstheme="minorHAnsi"/>
        </w:rPr>
        <w:t>a record of any training, qualifications or continuing professional development undertaken by the volunteer.</w:t>
      </w:r>
    </w:p>
    <w:p w:rsidR="007F65AC" w:rsidRPr="00F31004" w:rsidRDefault="005321E2" w:rsidP="0013671B">
      <w:pPr>
        <w:spacing w:before="120" w:after="120" w:line="240" w:lineRule="auto"/>
        <w:rPr>
          <w:rFonts w:asciiTheme="minorHAnsi" w:eastAsia="Calibri" w:hAnsiTheme="minorHAnsi" w:cstheme="minorHAnsi"/>
        </w:rPr>
      </w:pPr>
      <w:r w:rsidRPr="00C87D2E">
        <w:rPr>
          <w:rFonts w:asciiTheme="minorHAnsi" w:eastAsia="Calibri" w:hAnsiTheme="minorHAnsi" w:cstheme="minorHAnsi"/>
        </w:rPr>
        <w:t>Similar schemes are now emerging in Australia, such as the Be Collective volunteer management initiative</w:t>
      </w:r>
      <w:r w:rsidRPr="00C87D2E">
        <w:rPr>
          <w:rStyle w:val="FootnoteReference"/>
          <w:rFonts w:asciiTheme="minorHAnsi" w:eastAsia="Calibri" w:hAnsiTheme="minorHAnsi" w:cstheme="minorHAnsi"/>
        </w:rPr>
        <w:footnoteReference w:id="28"/>
      </w:r>
      <w:r w:rsidRPr="00C87D2E">
        <w:rPr>
          <w:rFonts w:asciiTheme="minorHAnsi" w:eastAsia="Calibri" w:hAnsiTheme="minorHAnsi" w:cstheme="minorHAnsi"/>
        </w:rPr>
        <w:t xml:space="preserve"> </w:t>
      </w:r>
      <w:r w:rsidR="00B16D8B" w:rsidRPr="00C87D2E">
        <w:rPr>
          <w:rFonts w:asciiTheme="minorHAnsi" w:eastAsia="Calibri" w:hAnsiTheme="minorHAnsi" w:cstheme="minorHAnsi"/>
        </w:rPr>
        <w:t xml:space="preserve">that </w:t>
      </w:r>
      <w:r w:rsidRPr="00C87D2E">
        <w:rPr>
          <w:rFonts w:asciiTheme="minorHAnsi" w:eastAsia="Calibri" w:hAnsiTheme="minorHAnsi" w:cstheme="minorHAnsi"/>
        </w:rPr>
        <w:t xml:space="preserve">provides </w:t>
      </w:r>
      <w:r w:rsidR="00B16D8B" w:rsidRPr="00C87D2E">
        <w:rPr>
          <w:rFonts w:asciiTheme="minorHAnsi" w:eastAsia="Calibri" w:hAnsiTheme="minorHAnsi" w:cstheme="minorHAnsi"/>
        </w:rPr>
        <w:t xml:space="preserve">an end-to-end management system </w:t>
      </w:r>
      <w:r w:rsidR="00387475" w:rsidRPr="00C87D2E">
        <w:rPr>
          <w:rFonts w:asciiTheme="minorHAnsi" w:eastAsia="Calibri" w:hAnsiTheme="minorHAnsi" w:cstheme="minorHAnsi"/>
        </w:rPr>
        <w:t xml:space="preserve">for </w:t>
      </w:r>
      <w:r w:rsidR="00B16D8B" w:rsidRPr="00C87D2E">
        <w:rPr>
          <w:rFonts w:asciiTheme="minorHAnsi" w:eastAsia="Calibri" w:hAnsiTheme="minorHAnsi" w:cstheme="minorHAnsi"/>
        </w:rPr>
        <w:t>charities to manage volunteer membership, engagement, administration and permissions.</w:t>
      </w:r>
    </w:p>
    <w:p w:rsidR="001879E3" w:rsidRPr="00F31004" w:rsidRDefault="00EB40C6" w:rsidP="0013671B">
      <w:pPr>
        <w:spacing w:before="240" w:after="120" w:line="240" w:lineRule="auto"/>
        <w:rPr>
          <w:rFonts w:asciiTheme="minorHAnsi" w:eastAsia="Calibri" w:hAnsiTheme="minorHAnsi" w:cstheme="minorHAnsi"/>
          <w:b/>
          <w:i/>
        </w:rPr>
      </w:pPr>
      <w:r>
        <w:rPr>
          <w:rFonts w:asciiTheme="minorHAnsi" w:eastAsia="Calibri" w:hAnsiTheme="minorHAnsi" w:cstheme="minorHAnsi"/>
          <w:b/>
          <w:i/>
        </w:rPr>
        <w:t xml:space="preserve">4.9 </w:t>
      </w:r>
      <w:r w:rsidR="001879E3" w:rsidRPr="00F31004">
        <w:rPr>
          <w:rFonts w:asciiTheme="minorHAnsi" w:eastAsia="Calibri" w:hAnsiTheme="minorHAnsi" w:cstheme="minorHAnsi"/>
          <w:b/>
          <w:i/>
        </w:rPr>
        <w:t>Clarify the withholding provisions concerning Private Ancillary Funds (PAFs) and other organisations</w:t>
      </w:r>
    </w:p>
    <w:p w:rsidR="001879E3" w:rsidRPr="00F31004" w:rsidRDefault="009A0747" w:rsidP="0013671B">
      <w:pPr>
        <w:spacing w:before="120" w:after="120" w:line="240" w:lineRule="auto"/>
        <w:rPr>
          <w:rFonts w:asciiTheme="minorHAnsi" w:eastAsia="Calibri" w:hAnsiTheme="minorHAnsi" w:cstheme="minorHAnsi"/>
        </w:rPr>
      </w:pPr>
      <w:r w:rsidRPr="00F31004">
        <w:rPr>
          <w:rFonts w:asciiTheme="minorHAnsi" w:eastAsia="Calibri" w:hAnsiTheme="minorHAnsi" w:cstheme="minorHAnsi"/>
        </w:rPr>
        <w:t xml:space="preserve">The Partnership notes that the </w:t>
      </w:r>
      <w:r w:rsidR="001879E3" w:rsidRPr="00F31004">
        <w:rPr>
          <w:rFonts w:asciiTheme="minorHAnsi" w:eastAsia="Calibri" w:hAnsiTheme="minorHAnsi" w:cstheme="minorHAnsi"/>
        </w:rPr>
        <w:t xml:space="preserve">ACNC holds information about those PAFs that are charities, including information provided at registration or on the Annual Information Statement. </w:t>
      </w:r>
    </w:p>
    <w:p w:rsidR="001879E3" w:rsidRPr="00F31004" w:rsidRDefault="001879E3" w:rsidP="0013671B">
      <w:pPr>
        <w:spacing w:before="120" w:after="120" w:line="240" w:lineRule="auto"/>
        <w:rPr>
          <w:rFonts w:asciiTheme="minorHAnsi" w:eastAsia="Calibri" w:hAnsiTheme="minorHAnsi" w:cstheme="minorHAnsi"/>
        </w:rPr>
      </w:pPr>
      <w:r w:rsidRPr="00F31004">
        <w:rPr>
          <w:rFonts w:asciiTheme="minorHAnsi" w:eastAsia="Calibri" w:hAnsiTheme="minorHAnsi" w:cstheme="minorHAnsi"/>
        </w:rPr>
        <w:t xml:space="preserve">When </w:t>
      </w:r>
      <w:r w:rsidR="00B25C7E">
        <w:rPr>
          <w:rFonts w:asciiTheme="minorHAnsi" w:eastAsia="Calibri" w:hAnsiTheme="minorHAnsi" w:cstheme="minorHAnsi"/>
        </w:rPr>
        <w:t xml:space="preserve">the </w:t>
      </w:r>
      <w:r w:rsidRPr="00F31004">
        <w:rPr>
          <w:rFonts w:asciiTheme="minorHAnsi" w:eastAsia="Calibri" w:hAnsiTheme="minorHAnsi" w:cstheme="minorHAnsi"/>
        </w:rPr>
        <w:t xml:space="preserve">ACNC was established, the </w:t>
      </w:r>
      <w:r w:rsidR="00096F71">
        <w:rPr>
          <w:rFonts w:asciiTheme="minorHAnsi" w:eastAsia="Calibri" w:hAnsiTheme="minorHAnsi" w:cstheme="minorHAnsi"/>
        </w:rPr>
        <w:t>G</w:t>
      </w:r>
      <w:r w:rsidRPr="00F31004">
        <w:rPr>
          <w:rFonts w:asciiTheme="minorHAnsi" w:eastAsia="Calibri" w:hAnsiTheme="minorHAnsi" w:cstheme="minorHAnsi"/>
        </w:rPr>
        <w:t xml:space="preserve">overnment intended to make sure that </w:t>
      </w:r>
      <w:r w:rsidR="00E43B14" w:rsidRPr="00F31004">
        <w:rPr>
          <w:rFonts w:asciiTheme="minorHAnsi" w:eastAsia="Calibri" w:hAnsiTheme="minorHAnsi" w:cstheme="minorHAnsi"/>
        </w:rPr>
        <w:t>details, which might identify the donors to PAFs,</w:t>
      </w:r>
      <w:r w:rsidRPr="00F31004">
        <w:rPr>
          <w:rFonts w:asciiTheme="minorHAnsi" w:eastAsia="Calibri" w:hAnsiTheme="minorHAnsi" w:cstheme="minorHAnsi"/>
        </w:rPr>
        <w:t xml:space="preserve"> could be withheld from the ACNC Register, thereby protecting the privacy of the donors. To implement this policy, provision was made in the ACNC Regulations for a range of specific elements of information to be withheld upon application. </w:t>
      </w:r>
    </w:p>
    <w:p w:rsidR="009A0747" w:rsidRPr="00F31004" w:rsidRDefault="001879E3" w:rsidP="0013671B">
      <w:pPr>
        <w:spacing w:before="120" w:after="120" w:line="240" w:lineRule="auto"/>
        <w:rPr>
          <w:rFonts w:asciiTheme="minorHAnsi" w:eastAsia="Calibri" w:hAnsiTheme="minorHAnsi" w:cstheme="minorHAnsi"/>
        </w:rPr>
      </w:pPr>
      <w:r w:rsidRPr="00F31004">
        <w:rPr>
          <w:rFonts w:asciiTheme="minorHAnsi" w:eastAsia="Calibri" w:hAnsiTheme="minorHAnsi" w:cstheme="minorHAnsi"/>
        </w:rPr>
        <w:t xml:space="preserve">Currently, PAFs need to identify and apply for withholding applications for each separate information element, which must then be considered separately by ACNC. This process adds significant workload and inefficiency for ACNC and charities. </w:t>
      </w:r>
    </w:p>
    <w:p w:rsidR="001879E3" w:rsidRPr="00F31004" w:rsidRDefault="001879E3" w:rsidP="0013671B">
      <w:pPr>
        <w:spacing w:before="120" w:after="120" w:line="240" w:lineRule="auto"/>
        <w:rPr>
          <w:rFonts w:asciiTheme="minorHAnsi" w:eastAsia="Calibri" w:hAnsiTheme="minorHAnsi" w:cstheme="minorHAnsi"/>
        </w:rPr>
      </w:pPr>
      <w:r w:rsidRPr="00F31004">
        <w:rPr>
          <w:rFonts w:asciiTheme="minorHAnsi" w:eastAsia="Calibri" w:hAnsiTheme="minorHAnsi" w:cstheme="minorHAnsi"/>
        </w:rPr>
        <w:t xml:space="preserve">It would be preferable for charities and ACNC if all identifiable information about PAFs could be simply withheld from the ACNC Register upon request from the PAF. De-identified information about PAFs could still potentially be published by ACNC in its public datasets. The withholding provisions applicable to PAFs should be reviewed to better support the government’s policy intent. </w:t>
      </w:r>
    </w:p>
    <w:p w:rsidR="001879E3" w:rsidRPr="00F31004" w:rsidRDefault="001879E3" w:rsidP="0013671B">
      <w:pPr>
        <w:spacing w:before="120" w:after="120" w:line="240" w:lineRule="auto"/>
        <w:rPr>
          <w:rFonts w:asciiTheme="minorHAnsi" w:eastAsia="Calibri" w:hAnsiTheme="minorHAnsi" w:cstheme="minorHAnsi"/>
        </w:rPr>
      </w:pPr>
      <w:r w:rsidRPr="00F31004">
        <w:rPr>
          <w:rFonts w:asciiTheme="minorHAnsi" w:eastAsia="Calibri" w:hAnsiTheme="minorHAnsi" w:cstheme="minorHAnsi"/>
        </w:rPr>
        <w:t xml:space="preserve">The withholding of information could be widened to include other </w:t>
      </w:r>
      <w:r w:rsidR="00096F71" w:rsidRPr="00F31004">
        <w:rPr>
          <w:rFonts w:asciiTheme="minorHAnsi" w:eastAsia="Calibri" w:hAnsiTheme="minorHAnsi" w:cstheme="minorHAnsi"/>
        </w:rPr>
        <w:t>organisations, which</w:t>
      </w:r>
      <w:r w:rsidRPr="00F31004">
        <w:rPr>
          <w:rFonts w:asciiTheme="minorHAnsi" w:eastAsia="Calibri" w:hAnsiTheme="minorHAnsi" w:cstheme="minorHAnsi"/>
        </w:rPr>
        <w:t xml:space="preserve"> would appropriately benefit from this</w:t>
      </w:r>
      <w:r w:rsidR="009A0747" w:rsidRPr="00F31004">
        <w:rPr>
          <w:rFonts w:asciiTheme="minorHAnsi" w:eastAsia="Calibri" w:hAnsiTheme="minorHAnsi" w:cstheme="minorHAnsi"/>
        </w:rPr>
        <w:t xml:space="preserve"> reform</w:t>
      </w:r>
      <w:r w:rsidRPr="00F31004">
        <w:rPr>
          <w:rFonts w:asciiTheme="minorHAnsi" w:eastAsia="Calibri" w:hAnsiTheme="minorHAnsi" w:cstheme="minorHAnsi"/>
        </w:rPr>
        <w:t>.</w:t>
      </w:r>
    </w:p>
    <w:p w:rsidR="00227FC8" w:rsidRPr="00F31004" w:rsidRDefault="00227FC8" w:rsidP="0013671B">
      <w:pPr>
        <w:spacing w:before="120" w:after="120" w:line="240" w:lineRule="auto"/>
        <w:rPr>
          <w:rFonts w:asciiTheme="minorHAnsi" w:hAnsiTheme="minorHAnsi" w:cstheme="minorHAnsi"/>
        </w:rPr>
      </w:pPr>
    </w:p>
    <w:sectPr w:rsidR="00227FC8" w:rsidRPr="00F31004" w:rsidSect="00577EA9">
      <w:headerReference w:type="default" r:id="rId8"/>
      <w:footerReference w:type="default" r:id="rId9"/>
      <w:headerReference w:type="first" r:id="rId10"/>
      <w:pgSz w:w="11906" w:h="16838" w:code="9"/>
      <w:pgMar w:top="1418" w:right="136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3376" w:rsidRDefault="006D3376" w:rsidP="002D0C90">
      <w:pPr>
        <w:spacing w:after="0" w:line="240" w:lineRule="auto"/>
      </w:pPr>
      <w:r>
        <w:separator/>
      </w:r>
    </w:p>
  </w:endnote>
  <w:endnote w:type="continuationSeparator" w:id="0">
    <w:p w:rsidR="006D3376" w:rsidRDefault="006D3376" w:rsidP="002D0C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Neue-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8F9" w:rsidRPr="00F5186E" w:rsidRDefault="00F158F9">
    <w:pPr>
      <w:pStyle w:val="Footer"/>
      <w:jc w:val="right"/>
      <w:rPr>
        <w:sz w:val="18"/>
        <w:szCs w:val="18"/>
      </w:rPr>
    </w:pPr>
    <w:r w:rsidRPr="00F5186E">
      <w:rPr>
        <w:sz w:val="18"/>
        <w:szCs w:val="18"/>
      </w:rPr>
      <w:t xml:space="preserve">Page </w:t>
    </w:r>
    <w:sdt>
      <w:sdtPr>
        <w:rPr>
          <w:sz w:val="18"/>
          <w:szCs w:val="18"/>
        </w:rPr>
        <w:id w:val="-873456379"/>
        <w:docPartObj>
          <w:docPartGallery w:val="Page Numbers (Bottom of Page)"/>
          <w:docPartUnique/>
        </w:docPartObj>
      </w:sdtPr>
      <w:sdtEndPr>
        <w:rPr>
          <w:noProof/>
        </w:rPr>
      </w:sdtEndPr>
      <w:sdtContent>
        <w:r w:rsidRPr="00F5186E">
          <w:rPr>
            <w:sz w:val="18"/>
            <w:szCs w:val="18"/>
          </w:rPr>
          <w:fldChar w:fldCharType="begin"/>
        </w:r>
        <w:r w:rsidRPr="00F5186E">
          <w:rPr>
            <w:sz w:val="18"/>
            <w:szCs w:val="18"/>
          </w:rPr>
          <w:instrText xml:space="preserve"> PAGE   \* MERGEFORMAT </w:instrText>
        </w:r>
        <w:r w:rsidRPr="00F5186E">
          <w:rPr>
            <w:sz w:val="18"/>
            <w:szCs w:val="18"/>
          </w:rPr>
          <w:fldChar w:fldCharType="separate"/>
        </w:r>
        <w:r w:rsidR="00490CFD">
          <w:rPr>
            <w:noProof/>
            <w:sz w:val="18"/>
            <w:szCs w:val="18"/>
          </w:rPr>
          <w:t>23</w:t>
        </w:r>
        <w:r w:rsidRPr="00F5186E">
          <w:rPr>
            <w:noProof/>
            <w:sz w:val="18"/>
            <w:szCs w:val="18"/>
          </w:rPr>
          <w:fldChar w:fldCharType="end"/>
        </w:r>
      </w:sdtContent>
    </w:sdt>
  </w:p>
  <w:p w:rsidR="00F158F9" w:rsidRPr="00D62DC3" w:rsidRDefault="00F158F9" w:rsidP="00594A19">
    <w:pPr>
      <w:pStyle w:val="Footer"/>
      <w:jc w:val="center"/>
      <w:rPr>
        <w:rFonts w:asciiTheme="minorHAnsi" w:hAnsiTheme="minorHAnsi" w:cstheme="minorHAnsi"/>
        <w:sz w:val="18"/>
        <w:szCs w:val="18"/>
      </w:rPr>
    </w:pPr>
    <w:r w:rsidRPr="00F5186E">
      <w:rPr>
        <w:rFonts w:asciiTheme="minorHAnsi" w:hAnsiTheme="minorHAnsi" w:cstheme="minorHAnsi"/>
        <w:i/>
        <w:sz w:val="18"/>
        <w:szCs w:val="18"/>
      </w:rPr>
      <w:t xml:space="preserve">ACNC </w:t>
    </w:r>
    <w:r w:rsidR="00594A19">
      <w:rPr>
        <w:rFonts w:asciiTheme="minorHAnsi" w:hAnsiTheme="minorHAnsi" w:cstheme="minorHAnsi"/>
        <w:i/>
        <w:sz w:val="18"/>
        <w:szCs w:val="18"/>
      </w:rPr>
      <w:t xml:space="preserve">Legislation </w:t>
    </w:r>
    <w:r w:rsidRPr="00F5186E">
      <w:rPr>
        <w:rFonts w:asciiTheme="minorHAnsi" w:hAnsiTheme="minorHAnsi" w:cstheme="minorHAnsi"/>
        <w:i/>
        <w:sz w:val="18"/>
        <w:szCs w:val="18"/>
      </w:rPr>
      <w:t>Review – Submission from the Prime Minister’s Community Business Partnership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3376" w:rsidRDefault="006D3376" w:rsidP="002D0C90">
      <w:pPr>
        <w:spacing w:after="0" w:line="240" w:lineRule="auto"/>
      </w:pPr>
      <w:r>
        <w:separator/>
      </w:r>
    </w:p>
  </w:footnote>
  <w:footnote w:type="continuationSeparator" w:id="0">
    <w:p w:rsidR="006D3376" w:rsidRDefault="006D3376" w:rsidP="002D0C90">
      <w:pPr>
        <w:spacing w:after="0" w:line="240" w:lineRule="auto"/>
      </w:pPr>
      <w:r>
        <w:continuationSeparator/>
      </w:r>
    </w:p>
  </w:footnote>
  <w:footnote w:id="1">
    <w:p w:rsidR="00F158F9" w:rsidRPr="00E43931" w:rsidRDefault="00F158F9">
      <w:pPr>
        <w:pStyle w:val="FootnoteText"/>
        <w:rPr>
          <w:rFonts w:asciiTheme="minorHAnsi" w:hAnsiTheme="minorHAnsi" w:cstheme="minorHAnsi"/>
          <w:sz w:val="18"/>
          <w:szCs w:val="18"/>
        </w:rPr>
      </w:pPr>
      <w:r w:rsidRPr="00E43931">
        <w:rPr>
          <w:rStyle w:val="FootnoteReference"/>
          <w:rFonts w:asciiTheme="minorHAnsi" w:hAnsiTheme="minorHAnsi" w:cstheme="minorHAnsi"/>
          <w:sz w:val="18"/>
          <w:szCs w:val="18"/>
        </w:rPr>
        <w:footnoteRef/>
      </w:r>
      <w:r w:rsidRPr="00E43931">
        <w:rPr>
          <w:rFonts w:asciiTheme="minorHAnsi" w:hAnsiTheme="minorHAnsi" w:cstheme="minorHAnsi"/>
          <w:sz w:val="18"/>
          <w:szCs w:val="18"/>
        </w:rPr>
        <w:t xml:space="preserve"> ‘Strong Diverse Charities Are Good For Australia’, Susan Pascoe, The Huffington Post Blog, 25 October 2016</w:t>
      </w:r>
    </w:p>
  </w:footnote>
  <w:footnote w:id="2">
    <w:p w:rsidR="00040BE0" w:rsidRPr="00E43931" w:rsidRDefault="00040BE0">
      <w:pPr>
        <w:pStyle w:val="FootnoteText"/>
        <w:rPr>
          <w:rFonts w:asciiTheme="minorHAnsi" w:hAnsiTheme="minorHAnsi" w:cstheme="minorHAnsi"/>
          <w:sz w:val="18"/>
          <w:szCs w:val="18"/>
        </w:rPr>
      </w:pPr>
      <w:r w:rsidRPr="00E43931">
        <w:rPr>
          <w:rStyle w:val="FootnoteReference"/>
          <w:rFonts w:asciiTheme="minorHAnsi" w:hAnsiTheme="minorHAnsi" w:cstheme="minorHAnsi"/>
          <w:sz w:val="18"/>
          <w:szCs w:val="18"/>
        </w:rPr>
        <w:footnoteRef/>
      </w:r>
      <w:r w:rsidRPr="00E43931">
        <w:rPr>
          <w:rFonts w:asciiTheme="minorHAnsi" w:hAnsiTheme="minorHAnsi" w:cstheme="minorHAnsi"/>
          <w:sz w:val="18"/>
          <w:szCs w:val="18"/>
        </w:rPr>
        <w:t xml:space="preserve"> </w:t>
      </w:r>
      <w:r w:rsidRPr="00E43931">
        <w:rPr>
          <w:rFonts w:asciiTheme="minorHAnsi" w:hAnsiTheme="minorHAnsi" w:cstheme="minorHAnsi"/>
          <w:i/>
          <w:sz w:val="18"/>
          <w:szCs w:val="18"/>
        </w:rPr>
        <w:t>Giving Australia 2016 Report</w:t>
      </w:r>
      <w:r w:rsidRPr="00E43931">
        <w:rPr>
          <w:rFonts w:asciiTheme="minorHAnsi" w:hAnsiTheme="minorHAnsi" w:cstheme="minorHAnsi"/>
          <w:sz w:val="18"/>
          <w:szCs w:val="18"/>
        </w:rPr>
        <w:t xml:space="preserve"> </w:t>
      </w:r>
      <w:r w:rsidRPr="00E43931">
        <w:rPr>
          <w:rFonts w:asciiTheme="minorHAnsi" w:hAnsiTheme="minorHAnsi" w:cstheme="minorHAnsi"/>
          <w:i/>
          <w:sz w:val="18"/>
          <w:szCs w:val="18"/>
        </w:rPr>
        <w:t>– Individual giving and volunteering</w:t>
      </w:r>
      <w:r w:rsidRPr="00E43931">
        <w:rPr>
          <w:rFonts w:asciiTheme="minorHAnsi" w:hAnsiTheme="minorHAnsi" w:cstheme="minorHAnsi"/>
          <w:sz w:val="18"/>
          <w:szCs w:val="18"/>
        </w:rPr>
        <w:t xml:space="preserve"> DSS  August 2017</w:t>
      </w:r>
    </w:p>
  </w:footnote>
  <w:footnote w:id="3">
    <w:p w:rsidR="00F158F9" w:rsidRPr="00E43931" w:rsidRDefault="00F158F9">
      <w:pPr>
        <w:pStyle w:val="FootnoteText"/>
        <w:rPr>
          <w:rFonts w:asciiTheme="minorHAnsi" w:hAnsiTheme="minorHAnsi" w:cstheme="minorHAnsi"/>
          <w:sz w:val="18"/>
          <w:szCs w:val="18"/>
        </w:rPr>
      </w:pPr>
      <w:r w:rsidRPr="00E43931">
        <w:rPr>
          <w:rStyle w:val="FootnoteReference"/>
          <w:rFonts w:asciiTheme="minorHAnsi" w:hAnsiTheme="minorHAnsi" w:cstheme="minorHAnsi"/>
          <w:sz w:val="18"/>
          <w:szCs w:val="18"/>
        </w:rPr>
        <w:footnoteRef/>
      </w:r>
      <w:r w:rsidRPr="00E43931">
        <w:rPr>
          <w:rFonts w:asciiTheme="minorHAnsi" w:hAnsiTheme="minorHAnsi" w:cstheme="minorHAnsi"/>
          <w:sz w:val="18"/>
          <w:szCs w:val="18"/>
        </w:rPr>
        <w:t xml:space="preserve"> ACNC Public Trust and Confidence in Australian Charities 2017.  Market Research Report Oct 2017</w:t>
      </w:r>
    </w:p>
  </w:footnote>
  <w:footnote w:id="4">
    <w:p w:rsidR="00F158F9" w:rsidRPr="00E43931" w:rsidRDefault="00F158F9" w:rsidP="00792D5A">
      <w:pPr>
        <w:pStyle w:val="FootnoteText"/>
        <w:rPr>
          <w:rFonts w:asciiTheme="minorHAnsi" w:hAnsiTheme="minorHAnsi" w:cstheme="minorHAnsi"/>
          <w:sz w:val="18"/>
          <w:szCs w:val="18"/>
        </w:rPr>
      </w:pPr>
      <w:r w:rsidRPr="00E43931">
        <w:rPr>
          <w:rStyle w:val="FootnoteReference"/>
          <w:rFonts w:asciiTheme="minorHAnsi" w:hAnsiTheme="minorHAnsi" w:cstheme="minorHAnsi"/>
          <w:sz w:val="18"/>
          <w:szCs w:val="18"/>
        </w:rPr>
        <w:footnoteRef/>
      </w:r>
      <w:r w:rsidRPr="00E43931">
        <w:rPr>
          <w:rFonts w:asciiTheme="minorHAnsi" w:hAnsiTheme="minorHAnsi" w:cstheme="minorHAnsi"/>
          <w:sz w:val="18"/>
          <w:szCs w:val="18"/>
        </w:rPr>
        <w:t xml:space="preserve"> ‘THE FUTURE OF CHARITY REGULATION IN AUSTRALIA: COMPLEXITIES OF CHANGE’, John Vaughan-Williams, </w:t>
      </w:r>
      <w:r w:rsidRPr="00E43931">
        <w:rPr>
          <w:rFonts w:asciiTheme="minorHAnsi" w:hAnsiTheme="minorHAnsi" w:cstheme="minorHAnsi"/>
          <w:i/>
          <w:sz w:val="18"/>
          <w:szCs w:val="18"/>
        </w:rPr>
        <w:t>The Adelaide Law Review</w:t>
      </w:r>
      <w:r w:rsidRPr="00E43931">
        <w:rPr>
          <w:rFonts w:asciiTheme="minorHAnsi" w:hAnsiTheme="minorHAnsi" w:cstheme="minorHAnsi"/>
          <w:sz w:val="18"/>
          <w:szCs w:val="18"/>
        </w:rPr>
        <w:t>, Volume 37 Issue 1 (2016)</w:t>
      </w:r>
    </w:p>
  </w:footnote>
  <w:footnote w:id="5">
    <w:p w:rsidR="00F158F9" w:rsidRDefault="00F158F9" w:rsidP="00A93FB6">
      <w:pPr>
        <w:pStyle w:val="FootnoteText"/>
      </w:pPr>
      <w:r w:rsidRPr="00E43931">
        <w:rPr>
          <w:rStyle w:val="FootnoteReference"/>
          <w:rFonts w:asciiTheme="minorHAnsi" w:hAnsiTheme="minorHAnsi" w:cstheme="minorHAnsi"/>
          <w:sz w:val="18"/>
          <w:szCs w:val="18"/>
        </w:rPr>
        <w:footnoteRef/>
      </w:r>
      <w:r w:rsidRPr="00E43931">
        <w:rPr>
          <w:rFonts w:asciiTheme="minorHAnsi" w:hAnsiTheme="minorHAnsi" w:cstheme="minorHAnsi"/>
          <w:sz w:val="18"/>
          <w:szCs w:val="18"/>
        </w:rPr>
        <w:t xml:space="preserve"> </w:t>
      </w:r>
      <w:r w:rsidRPr="00E43931">
        <w:rPr>
          <w:rFonts w:asciiTheme="minorHAnsi" w:hAnsiTheme="minorHAnsi" w:cstheme="minorHAnsi"/>
          <w:i/>
          <w:sz w:val="18"/>
          <w:szCs w:val="18"/>
        </w:rPr>
        <w:t>Giving Australia 2016: Giving and volunteering: the nonprofit perspective</w:t>
      </w:r>
      <w:r w:rsidRPr="00E43931">
        <w:rPr>
          <w:rFonts w:asciiTheme="minorHAnsi" w:hAnsiTheme="minorHAnsi" w:cstheme="minorHAnsi"/>
          <w:sz w:val="18"/>
          <w:szCs w:val="18"/>
        </w:rPr>
        <w:t>, November 2017  DSS .page.72</w:t>
      </w:r>
    </w:p>
  </w:footnote>
  <w:footnote w:id="6">
    <w:p w:rsidR="00F158F9" w:rsidRPr="00E43931" w:rsidRDefault="00F158F9" w:rsidP="008602C0">
      <w:pPr>
        <w:pStyle w:val="FootnoteText"/>
        <w:rPr>
          <w:rFonts w:asciiTheme="minorHAnsi" w:hAnsiTheme="minorHAnsi" w:cstheme="minorHAnsi"/>
          <w:sz w:val="18"/>
          <w:szCs w:val="18"/>
        </w:rPr>
      </w:pPr>
      <w:r w:rsidRPr="00E43931">
        <w:rPr>
          <w:rStyle w:val="FootnoteReference"/>
          <w:rFonts w:asciiTheme="minorHAnsi" w:hAnsiTheme="minorHAnsi" w:cstheme="minorHAnsi"/>
          <w:sz w:val="18"/>
          <w:szCs w:val="18"/>
        </w:rPr>
        <w:footnoteRef/>
      </w:r>
      <w:r w:rsidRPr="00E43931">
        <w:rPr>
          <w:rFonts w:asciiTheme="minorHAnsi" w:hAnsiTheme="minorHAnsi" w:cstheme="minorHAnsi"/>
          <w:sz w:val="18"/>
          <w:szCs w:val="18"/>
        </w:rPr>
        <w:t xml:space="preserve"> ‘Independent Charities, Independent Regulators: The Future of Not-for-Profit Regulation’ , Helen Rittelmeyer, .Issue Analysis No. 143, 6 February 2014, The Centre for Independent Studies (CIS)</w:t>
      </w:r>
    </w:p>
  </w:footnote>
  <w:footnote w:id="7">
    <w:p w:rsidR="00F158F9" w:rsidRDefault="00F158F9" w:rsidP="00AA2B16">
      <w:pPr>
        <w:pStyle w:val="FootnoteText"/>
      </w:pPr>
      <w:r w:rsidRPr="00E43931">
        <w:rPr>
          <w:rStyle w:val="FootnoteReference"/>
          <w:rFonts w:asciiTheme="minorHAnsi" w:hAnsiTheme="minorHAnsi" w:cstheme="minorHAnsi"/>
          <w:sz w:val="18"/>
          <w:szCs w:val="18"/>
        </w:rPr>
        <w:footnoteRef/>
      </w:r>
      <w:r w:rsidRPr="00E43931">
        <w:rPr>
          <w:rFonts w:asciiTheme="minorHAnsi" w:hAnsiTheme="minorHAnsi" w:cstheme="minorHAnsi"/>
          <w:sz w:val="18"/>
          <w:szCs w:val="18"/>
        </w:rPr>
        <w:t xml:space="preserve"> </w:t>
      </w:r>
      <w:r w:rsidRPr="00E43931">
        <w:rPr>
          <w:rFonts w:asciiTheme="minorHAnsi" w:hAnsiTheme="minorHAnsi" w:cstheme="minorHAnsi"/>
          <w:i/>
          <w:sz w:val="18"/>
          <w:szCs w:val="18"/>
        </w:rPr>
        <w:t>Giving Australia 2016: Giving and volunteering: the non</w:t>
      </w:r>
      <w:r w:rsidR="0057637F" w:rsidRPr="00E43931">
        <w:rPr>
          <w:rFonts w:asciiTheme="minorHAnsi" w:hAnsiTheme="minorHAnsi" w:cstheme="minorHAnsi"/>
          <w:i/>
          <w:sz w:val="18"/>
          <w:szCs w:val="18"/>
        </w:rPr>
        <w:t>-</w:t>
      </w:r>
      <w:r w:rsidRPr="00E43931">
        <w:rPr>
          <w:rFonts w:asciiTheme="minorHAnsi" w:hAnsiTheme="minorHAnsi" w:cstheme="minorHAnsi"/>
          <w:i/>
          <w:sz w:val="18"/>
          <w:szCs w:val="18"/>
        </w:rPr>
        <w:t>profit perspective</w:t>
      </w:r>
      <w:r w:rsidRPr="00E43931">
        <w:rPr>
          <w:rFonts w:asciiTheme="minorHAnsi" w:hAnsiTheme="minorHAnsi" w:cstheme="minorHAnsi"/>
          <w:sz w:val="18"/>
          <w:szCs w:val="18"/>
        </w:rPr>
        <w:t>, November 2017  DSS</w:t>
      </w:r>
    </w:p>
  </w:footnote>
  <w:footnote w:id="8">
    <w:p w:rsidR="00F158F9" w:rsidRPr="00E43931" w:rsidRDefault="00F158F9" w:rsidP="00C1339E">
      <w:pPr>
        <w:pStyle w:val="FootnoteText"/>
        <w:rPr>
          <w:rFonts w:asciiTheme="minorHAnsi" w:hAnsiTheme="minorHAnsi" w:cstheme="minorHAnsi"/>
          <w:sz w:val="18"/>
          <w:szCs w:val="18"/>
        </w:rPr>
      </w:pPr>
      <w:r w:rsidRPr="00E43931">
        <w:rPr>
          <w:rStyle w:val="FootnoteReference"/>
          <w:rFonts w:asciiTheme="minorHAnsi" w:hAnsiTheme="minorHAnsi" w:cstheme="minorHAnsi"/>
          <w:sz w:val="18"/>
          <w:szCs w:val="18"/>
        </w:rPr>
        <w:footnoteRef/>
      </w:r>
      <w:r w:rsidRPr="00E43931">
        <w:rPr>
          <w:rFonts w:asciiTheme="minorHAnsi" w:hAnsiTheme="minorHAnsi" w:cstheme="minorHAnsi"/>
          <w:sz w:val="18"/>
          <w:szCs w:val="18"/>
        </w:rPr>
        <w:t xml:space="preserve"> </w:t>
      </w:r>
      <w:r w:rsidRPr="00E43931">
        <w:rPr>
          <w:rFonts w:asciiTheme="minorHAnsi" w:hAnsiTheme="minorHAnsi" w:cstheme="minorHAnsi"/>
          <w:i/>
          <w:sz w:val="18"/>
          <w:szCs w:val="18"/>
        </w:rPr>
        <w:t>ACNC Regulatory Approach Statement</w:t>
      </w:r>
    </w:p>
  </w:footnote>
  <w:footnote w:id="9">
    <w:p w:rsidR="00F158F9" w:rsidRPr="009B365A" w:rsidRDefault="00F158F9">
      <w:pPr>
        <w:pStyle w:val="FootnoteText"/>
        <w:rPr>
          <w:rFonts w:asciiTheme="minorHAnsi" w:hAnsiTheme="minorHAnsi" w:cstheme="minorHAnsi"/>
          <w:sz w:val="18"/>
          <w:szCs w:val="18"/>
        </w:rPr>
      </w:pPr>
      <w:r w:rsidRPr="009B365A">
        <w:rPr>
          <w:rStyle w:val="FootnoteReference"/>
          <w:rFonts w:asciiTheme="minorHAnsi" w:hAnsiTheme="minorHAnsi" w:cstheme="minorHAnsi"/>
          <w:sz w:val="18"/>
          <w:szCs w:val="18"/>
        </w:rPr>
        <w:footnoteRef/>
      </w:r>
      <w:r w:rsidRPr="009B365A">
        <w:rPr>
          <w:rFonts w:asciiTheme="minorHAnsi" w:hAnsiTheme="minorHAnsi" w:cstheme="minorHAnsi"/>
          <w:sz w:val="18"/>
          <w:szCs w:val="18"/>
        </w:rPr>
        <w:t xml:space="preserve"> </w:t>
      </w:r>
      <w:hyperlink r:id="rId1" w:history="1">
        <w:r w:rsidRPr="009B365A">
          <w:rPr>
            <w:rStyle w:val="Hyperlink"/>
            <w:rFonts w:asciiTheme="minorHAnsi" w:hAnsiTheme="minorHAnsi" w:cstheme="minorHAnsi"/>
            <w:sz w:val="18"/>
            <w:szCs w:val="18"/>
          </w:rPr>
          <w:t>www.acnc.gov.au</w:t>
        </w:r>
      </w:hyperlink>
      <w:r w:rsidRPr="009B365A">
        <w:rPr>
          <w:rFonts w:asciiTheme="minorHAnsi" w:hAnsiTheme="minorHAnsi" w:cstheme="minorHAnsi"/>
          <w:sz w:val="18"/>
          <w:szCs w:val="18"/>
        </w:rPr>
        <w:t xml:space="preserve"> </w:t>
      </w:r>
    </w:p>
  </w:footnote>
  <w:footnote w:id="10">
    <w:p w:rsidR="00F158F9" w:rsidRDefault="00F158F9">
      <w:pPr>
        <w:pStyle w:val="FootnoteText"/>
      </w:pPr>
      <w:r w:rsidRPr="009B365A">
        <w:rPr>
          <w:rStyle w:val="FootnoteReference"/>
          <w:rFonts w:asciiTheme="minorHAnsi" w:hAnsiTheme="minorHAnsi" w:cstheme="minorHAnsi"/>
          <w:sz w:val="18"/>
          <w:szCs w:val="18"/>
        </w:rPr>
        <w:footnoteRef/>
      </w:r>
      <w:r w:rsidRPr="009B365A">
        <w:rPr>
          <w:rFonts w:asciiTheme="minorHAnsi" w:hAnsiTheme="minorHAnsi" w:cstheme="minorHAnsi"/>
          <w:sz w:val="18"/>
          <w:szCs w:val="18"/>
        </w:rPr>
        <w:t xml:space="preserve"> </w:t>
      </w:r>
      <w:hyperlink r:id="rId2" w:history="1">
        <w:r w:rsidRPr="009B365A">
          <w:rPr>
            <w:rStyle w:val="Hyperlink"/>
            <w:rFonts w:asciiTheme="minorHAnsi" w:hAnsiTheme="minorHAnsi" w:cstheme="minorHAnsi"/>
            <w:sz w:val="18"/>
            <w:szCs w:val="18"/>
          </w:rPr>
          <w:t>http://eprints.qut.edu.au/75397/4/75397(updated).pdf</w:t>
        </w:r>
      </w:hyperlink>
      <w:r>
        <w:t xml:space="preserve"> </w:t>
      </w:r>
    </w:p>
  </w:footnote>
  <w:footnote w:id="11">
    <w:p w:rsidR="003B1F59" w:rsidRPr="009B365A" w:rsidRDefault="003B1F59" w:rsidP="003B1F59">
      <w:pPr>
        <w:pStyle w:val="FootnoteText"/>
        <w:rPr>
          <w:rFonts w:asciiTheme="minorHAnsi" w:hAnsiTheme="minorHAnsi" w:cstheme="minorHAnsi"/>
          <w:sz w:val="18"/>
          <w:szCs w:val="18"/>
        </w:rPr>
      </w:pPr>
      <w:r w:rsidRPr="009B365A">
        <w:rPr>
          <w:rStyle w:val="FootnoteReference"/>
          <w:rFonts w:asciiTheme="minorHAnsi" w:hAnsiTheme="minorHAnsi" w:cstheme="minorHAnsi"/>
          <w:sz w:val="18"/>
          <w:szCs w:val="18"/>
        </w:rPr>
        <w:footnoteRef/>
      </w:r>
      <w:r w:rsidRPr="009B365A">
        <w:rPr>
          <w:rFonts w:asciiTheme="minorHAnsi" w:hAnsiTheme="minorHAnsi" w:cstheme="minorHAnsi"/>
          <w:sz w:val="18"/>
          <w:szCs w:val="18"/>
        </w:rPr>
        <w:t xml:space="preserve"> </w:t>
      </w:r>
      <w:r w:rsidRPr="009B365A">
        <w:rPr>
          <w:rFonts w:asciiTheme="minorHAnsi" w:hAnsiTheme="minorHAnsi" w:cstheme="minorHAnsi"/>
          <w:i/>
          <w:sz w:val="18"/>
          <w:szCs w:val="18"/>
        </w:rPr>
        <w:t>Giving Australia 2016</w:t>
      </w:r>
      <w:r w:rsidR="009B365A">
        <w:rPr>
          <w:rFonts w:asciiTheme="minorHAnsi" w:hAnsiTheme="minorHAnsi" w:cstheme="minorHAnsi"/>
          <w:i/>
          <w:sz w:val="18"/>
          <w:szCs w:val="18"/>
        </w:rPr>
        <w:t xml:space="preserve"> </w:t>
      </w:r>
      <w:r w:rsidR="009B365A" w:rsidRPr="009B365A">
        <w:rPr>
          <w:rFonts w:asciiTheme="minorHAnsi" w:hAnsiTheme="minorHAnsi" w:cstheme="minorHAnsi"/>
          <w:sz w:val="18"/>
          <w:szCs w:val="18"/>
        </w:rPr>
        <w:t>DSS  August 2017</w:t>
      </w:r>
    </w:p>
  </w:footnote>
  <w:footnote w:id="12">
    <w:p w:rsidR="00F158F9" w:rsidRDefault="00F158F9">
      <w:pPr>
        <w:pStyle w:val="FootnoteText"/>
      </w:pPr>
      <w:r w:rsidRPr="009B365A">
        <w:rPr>
          <w:rStyle w:val="FootnoteReference"/>
          <w:rFonts w:asciiTheme="minorHAnsi" w:hAnsiTheme="minorHAnsi" w:cstheme="minorHAnsi"/>
          <w:sz w:val="18"/>
          <w:szCs w:val="18"/>
        </w:rPr>
        <w:footnoteRef/>
      </w:r>
      <w:r w:rsidRPr="009B365A">
        <w:rPr>
          <w:rFonts w:asciiTheme="minorHAnsi" w:hAnsiTheme="minorHAnsi" w:cstheme="minorHAnsi"/>
          <w:sz w:val="18"/>
          <w:szCs w:val="18"/>
        </w:rPr>
        <w:t xml:space="preserve"> Widespread </w:t>
      </w:r>
      <w:r w:rsidRPr="009B365A">
        <w:rPr>
          <w:rFonts w:asciiTheme="minorHAnsi" w:hAnsiTheme="minorHAnsi" w:cstheme="minorHAnsi"/>
          <w:sz w:val="18"/>
          <w:szCs w:val="18"/>
          <w:lang w:val="en"/>
        </w:rPr>
        <w:t xml:space="preserve">media speculation that Olive Cooke, who having received almost 3,000 mailings from charities in a year contributed to her death, the </w:t>
      </w:r>
      <w:hyperlink r:id="rId3" w:history="1">
        <w:r w:rsidRPr="009B365A">
          <w:rPr>
            <w:rStyle w:val="Hyperlink"/>
            <w:rFonts w:asciiTheme="minorHAnsi" w:hAnsiTheme="minorHAnsi" w:cstheme="minorHAnsi"/>
            <w:sz w:val="18"/>
            <w:szCs w:val="18"/>
            <w:lang w:val="en"/>
          </w:rPr>
          <w:t>report from the Fundraising Standards Board (pdf)</w:t>
        </w:r>
      </w:hyperlink>
    </w:p>
  </w:footnote>
  <w:footnote w:id="13">
    <w:p w:rsidR="00B860BD" w:rsidRPr="009B365A" w:rsidRDefault="00F158F9" w:rsidP="00B860BD">
      <w:pPr>
        <w:spacing w:after="0"/>
        <w:rPr>
          <w:rFonts w:asciiTheme="minorHAnsi" w:hAnsiTheme="minorHAnsi" w:cstheme="minorHAnsi"/>
          <w:sz w:val="18"/>
          <w:szCs w:val="18"/>
        </w:rPr>
      </w:pPr>
      <w:r w:rsidRPr="009B365A">
        <w:rPr>
          <w:rStyle w:val="FootnoteReference"/>
          <w:rFonts w:asciiTheme="minorHAnsi" w:hAnsiTheme="minorHAnsi" w:cstheme="minorHAnsi"/>
          <w:sz w:val="18"/>
          <w:szCs w:val="18"/>
        </w:rPr>
        <w:footnoteRef/>
      </w:r>
      <w:r w:rsidRPr="009B365A">
        <w:rPr>
          <w:rFonts w:asciiTheme="minorHAnsi" w:hAnsiTheme="minorHAnsi" w:cstheme="minorHAnsi"/>
          <w:sz w:val="18"/>
          <w:szCs w:val="18"/>
        </w:rPr>
        <w:t xml:space="preserve"> </w:t>
      </w:r>
      <w:r w:rsidR="00444BA3" w:rsidRPr="009B365A">
        <w:rPr>
          <w:rFonts w:asciiTheme="minorHAnsi" w:hAnsiTheme="minorHAnsi" w:cstheme="minorHAnsi"/>
          <w:i/>
          <w:sz w:val="18"/>
          <w:szCs w:val="18"/>
        </w:rPr>
        <w:t>Philanthropy and Digital Civil Society: Blueprint 2018. The Annual Industry Forecast</w:t>
      </w:r>
      <w:r w:rsidR="00444BA3" w:rsidRPr="009B365A">
        <w:rPr>
          <w:rFonts w:asciiTheme="minorHAnsi" w:hAnsiTheme="minorHAnsi" w:cstheme="minorHAnsi"/>
          <w:sz w:val="18"/>
          <w:szCs w:val="18"/>
        </w:rPr>
        <w:t xml:space="preserve"> by Lucy Bernholz </w:t>
      </w:r>
    </w:p>
    <w:p w:rsidR="00F158F9" w:rsidRPr="009B365A" w:rsidRDefault="006D3376" w:rsidP="00B860BD">
      <w:pPr>
        <w:spacing w:after="0"/>
        <w:rPr>
          <w:rFonts w:asciiTheme="minorHAnsi" w:hAnsiTheme="minorHAnsi" w:cstheme="minorHAnsi"/>
          <w:sz w:val="18"/>
          <w:szCs w:val="18"/>
        </w:rPr>
      </w:pPr>
      <w:hyperlink r:id="rId4" w:history="1">
        <w:r w:rsidR="00F158F9" w:rsidRPr="009B365A">
          <w:rPr>
            <w:rStyle w:val="Hyperlink"/>
            <w:rFonts w:asciiTheme="minorHAnsi" w:hAnsiTheme="minorHAnsi" w:cstheme="minorHAnsi"/>
            <w:sz w:val="18"/>
            <w:szCs w:val="18"/>
          </w:rPr>
          <w:t>The Digital Civil Society Lab at Stanford University's Centre on Philanthropy and Civil Society</w:t>
        </w:r>
      </w:hyperlink>
      <w:r w:rsidR="00F158F9" w:rsidRPr="009B365A">
        <w:rPr>
          <w:rFonts w:asciiTheme="minorHAnsi" w:hAnsiTheme="minorHAnsi" w:cstheme="minorHAnsi"/>
          <w:sz w:val="18"/>
          <w:szCs w:val="18"/>
        </w:rPr>
        <w:t xml:space="preserve">. </w:t>
      </w:r>
    </w:p>
  </w:footnote>
  <w:footnote w:id="14">
    <w:p w:rsidR="00272E64" w:rsidRDefault="00272E64" w:rsidP="00272E64">
      <w:pPr>
        <w:pStyle w:val="FootnoteText"/>
      </w:pPr>
      <w:r w:rsidRPr="009B365A">
        <w:rPr>
          <w:rStyle w:val="FootnoteReference"/>
          <w:rFonts w:asciiTheme="minorHAnsi" w:hAnsiTheme="minorHAnsi" w:cstheme="minorHAnsi"/>
          <w:sz w:val="18"/>
          <w:szCs w:val="18"/>
        </w:rPr>
        <w:footnoteRef/>
      </w:r>
      <w:r w:rsidRPr="009B365A">
        <w:rPr>
          <w:rFonts w:asciiTheme="minorHAnsi" w:hAnsiTheme="minorHAnsi" w:cstheme="minorHAnsi"/>
          <w:sz w:val="18"/>
          <w:szCs w:val="18"/>
        </w:rPr>
        <w:t xml:space="preserve"> </w:t>
      </w:r>
      <w:hyperlink r:id="rId5" w:history="1">
        <w:r w:rsidRPr="009B365A">
          <w:rPr>
            <w:rStyle w:val="Hyperlink"/>
            <w:rFonts w:asciiTheme="minorHAnsi" w:hAnsiTheme="minorHAnsi" w:cstheme="minorHAnsi"/>
            <w:sz w:val="18"/>
            <w:szCs w:val="18"/>
          </w:rPr>
          <w:t>https://www.communitybusinesspartnership.gov.au/about/working-groups/innovation-and-culture/</w:t>
        </w:r>
      </w:hyperlink>
      <w:r>
        <w:t xml:space="preserve"> </w:t>
      </w:r>
    </w:p>
  </w:footnote>
  <w:footnote w:id="15">
    <w:p w:rsidR="00F158F9" w:rsidRPr="009B365A" w:rsidRDefault="00F158F9" w:rsidP="00C866DB">
      <w:pPr>
        <w:pStyle w:val="FootnoteText"/>
        <w:rPr>
          <w:rFonts w:asciiTheme="minorHAnsi" w:hAnsiTheme="minorHAnsi" w:cstheme="minorHAnsi"/>
          <w:sz w:val="18"/>
          <w:szCs w:val="18"/>
        </w:rPr>
      </w:pPr>
      <w:r w:rsidRPr="009B365A">
        <w:rPr>
          <w:rStyle w:val="FootnoteReference"/>
          <w:rFonts w:asciiTheme="minorHAnsi" w:hAnsiTheme="minorHAnsi" w:cstheme="minorHAnsi"/>
          <w:sz w:val="18"/>
          <w:szCs w:val="18"/>
        </w:rPr>
        <w:footnoteRef/>
      </w:r>
      <w:r w:rsidRPr="009B365A">
        <w:rPr>
          <w:rFonts w:asciiTheme="minorHAnsi" w:hAnsiTheme="minorHAnsi" w:cstheme="minorHAnsi"/>
          <w:sz w:val="18"/>
          <w:szCs w:val="18"/>
        </w:rPr>
        <w:t xml:space="preserve"> Commissioner’s Column – 25 January 2018 </w:t>
      </w:r>
      <w:hyperlink r:id="rId6" w:history="1">
        <w:r w:rsidRPr="009B365A">
          <w:rPr>
            <w:rStyle w:val="Hyperlink"/>
            <w:rFonts w:asciiTheme="minorHAnsi" w:hAnsiTheme="minorHAnsi" w:cstheme="minorHAnsi"/>
            <w:sz w:val="18"/>
            <w:szCs w:val="18"/>
          </w:rPr>
          <w:t>http://www.acnc.gov.au</w:t>
        </w:r>
      </w:hyperlink>
      <w:r w:rsidRPr="009B365A">
        <w:rPr>
          <w:rFonts w:asciiTheme="minorHAnsi" w:hAnsiTheme="minorHAnsi" w:cstheme="minorHAnsi"/>
          <w:sz w:val="18"/>
          <w:szCs w:val="18"/>
        </w:rPr>
        <w:t xml:space="preserve"> </w:t>
      </w:r>
    </w:p>
  </w:footnote>
  <w:footnote w:id="16">
    <w:p w:rsidR="004A5AAE" w:rsidRPr="009B365A" w:rsidRDefault="004A5AAE" w:rsidP="004A5AAE">
      <w:pPr>
        <w:pStyle w:val="FootnoteText"/>
        <w:rPr>
          <w:rFonts w:asciiTheme="minorHAnsi" w:hAnsiTheme="minorHAnsi" w:cstheme="minorHAnsi"/>
          <w:sz w:val="18"/>
          <w:szCs w:val="18"/>
        </w:rPr>
      </w:pPr>
      <w:r w:rsidRPr="009B365A">
        <w:rPr>
          <w:rStyle w:val="FootnoteReference"/>
          <w:rFonts w:asciiTheme="minorHAnsi" w:hAnsiTheme="minorHAnsi" w:cstheme="minorHAnsi"/>
          <w:sz w:val="18"/>
          <w:szCs w:val="18"/>
        </w:rPr>
        <w:footnoteRef/>
      </w:r>
      <w:r w:rsidRPr="009B365A">
        <w:rPr>
          <w:rFonts w:asciiTheme="minorHAnsi" w:hAnsiTheme="minorHAnsi" w:cstheme="minorHAnsi"/>
          <w:sz w:val="18"/>
          <w:szCs w:val="18"/>
        </w:rPr>
        <w:t xml:space="preserve"> ‘ACNC: the facilitative regulator — a case study of proactive reform’, by Krystian Seibert, 01/08/2016 </w:t>
      </w:r>
      <w:hyperlink r:id="rId7" w:history="1">
        <w:r w:rsidRPr="009B365A">
          <w:rPr>
            <w:rStyle w:val="Hyperlink"/>
            <w:rFonts w:asciiTheme="minorHAnsi" w:hAnsiTheme="minorHAnsi" w:cstheme="minorHAnsi"/>
            <w:sz w:val="18"/>
            <w:szCs w:val="18"/>
          </w:rPr>
          <w:t>https://www.themandarin.com.au/68308-acnc-proactive-reform-establish-facilitative-regulator/</w:t>
        </w:r>
      </w:hyperlink>
      <w:r w:rsidRPr="009B365A">
        <w:rPr>
          <w:rFonts w:asciiTheme="minorHAnsi" w:hAnsiTheme="minorHAnsi" w:cstheme="minorHAnsi"/>
          <w:sz w:val="18"/>
          <w:szCs w:val="18"/>
        </w:rPr>
        <w:t xml:space="preserve"> </w:t>
      </w:r>
    </w:p>
  </w:footnote>
  <w:footnote w:id="17">
    <w:p w:rsidR="002F7CDC" w:rsidRPr="009B365A" w:rsidRDefault="002F7CDC" w:rsidP="002F7CDC">
      <w:pPr>
        <w:pStyle w:val="FootnoteText"/>
        <w:rPr>
          <w:rFonts w:asciiTheme="minorHAnsi" w:hAnsiTheme="minorHAnsi" w:cstheme="minorHAnsi"/>
          <w:sz w:val="18"/>
          <w:szCs w:val="18"/>
        </w:rPr>
      </w:pPr>
      <w:r w:rsidRPr="009B365A">
        <w:rPr>
          <w:rStyle w:val="FootnoteReference"/>
          <w:rFonts w:asciiTheme="minorHAnsi" w:hAnsiTheme="minorHAnsi" w:cstheme="minorHAnsi"/>
          <w:sz w:val="18"/>
          <w:szCs w:val="18"/>
        </w:rPr>
        <w:footnoteRef/>
      </w:r>
      <w:r w:rsidRPr="009B365A">
        <w:rPr>
          <w:rFonts w:asciiTheme="minorHAnsi" w:hAnsiTheme="minorHAnsi" w:cstheme="minorHAnsi"/>
          <w:sz w:val="18"/>
          <w:szCs w:val="18"/>
        </w:rPr>
        <w:t xml:space="preserve"> ‘The Digital Regulator’, Susan Pascoe in </w:t>
      </w:r>
      <w:r w:rsidRPr="009B365A">
        <w:rPr>
          <w:rFonts w:asciiTheme="minorHAnsi" w:hAnsiTheme="minorHAnsi" w:cstheme="minorHAnsi"/>
          <w:i/>
          <w:sz w:val="18"/>
          <w:szCs w:val="18"/>
        </w:rPr>
        <w:t>Regulating Charities: The Inside Story</w:t>
      </w:r>
      <w:r w:rsidRPr="009B365A">
        <w:rPr>
          <w:rFonts w:asciiTheme="minorHAnsi" w:hAnsiTheme="minorHAnsi" w:cstheme="minorHAnsi"/>
          <w:sz w:val="18"/>
          <w:szCs w:val="18"/>
        </w:rPr>
        <w:t>.  Edited by Myles McGregor-Lownes and Bob Wyatt (2017).pp211-232: p.216</w:t>
      </w:r>
    </w:p>
  </w:footnote>
  <w:footnote w:id="18">
    <w:p w:rsidR="00F158F9" w:rsidRDefault="00F158F9">
      <w:pPr>
        <w:pStyle w:val="FootnoteText"/>
      </w:pPr>
      <w:r w:rsidRPr="009B365A">
        <w:rPr>
          <w:rStyle w:val="FootnoteReference"/>
          <w:rFonts w:asciiTheme="minorHAnsi" w:hAnsiTheme="minorHAnsi" w:cstheme="minorHAnsi"/>
          <w:sz w:val="18"/>
          <w:szCs w:val="18"/>
        </w:rPr>
        <w:footnoteRef/>
      </w:r>
      <w:r w:rsidRPr="009B365A">
        <w:rPr>
          <w:rFonts w:asciiTheme="minorHAnsi" w:hAnsiTheme="minorHAnsi" w:cstheme="minorHAnsi"/>
          <w:sz w:val="18"/>
          <w:szCs w:val="18"/>
        </w:rPr>
        <w:t xml:space="preserve"> ‘ACNC five years on: Reflections of the Inaugural Commissioner, Susan Pascoe AM. 26 Sept 2017. ACNC website</w:t>
      </w:r>
    </w:p>
  </w:footnote>
  <w:footnote w:id="19">
    <w:p w:rsidR="00F158F9" w:rsidRPr="00852D3D" w:rsidRDefault="00F158F9">
      <w:pPr>
        <w:pStyle w:val="FootnoteText"/>
        <w:rPr>
          <w:rFonts w:asciiTheme="minorHAnsi" w:hAnsiTheme="minorHAnsi" w:cstheme="minorHAnsi"/>
          <w:sz w:val="18"/>
          <w:szCs w:val="18"/>
        </w:rPr>
      </w:pPr>
      <w:r w:rsidRPr="00852D3D">
        <w:rPr>
          <w:rStyle w:val="FootnoteReference"/>
          <w:rFonts w:asciiTheme="minorHAnsi" w:hAnsiTheme="minorHAnsi" w:cstheme="minorHAnsi"/>
          <w:sz w:val="18"/>
          <w:szCs w:val="18"/>
        </w:rPr>
        <w:footnoteRef/>
      </w:r>
      <w:r w:rsidRPr="00852D3D">
        <w:rPr>
          <w:rFonts w:asciiTheme="minorHAnsi" w:hAnsiTheme="minorHAnsi" w:cstheme="minorHAnsi"/>
          <w:sz w:val="18"/>
          <w:szCs w:val="18"/>
        </w:rPr>
        <w:t xml:space="preserve"> https://www.charities.govt.nz/</w:t>
      </w:r>
    </w:p>
  </w:footnote>
  <w:footnote w:id="20">
    <w:p w:rsidR="00F158F9" w:rsidRPr="00852D3D" w:rsidRDefault="00F158F9">
      <w:pPr>
        <w:pStyle w:val="FootnoteText"/>
        <w:rPr>
          <w:rFonts w:asciiTheme="minorHAnsi" w:hAnsiTheme="minorHAnsi" w:cstheme="minorHAnsi"/>
          <w:sz w:val="18"/>
          <w:szCs w:val="18"/>
        </w:rPr>
      </w:pPr>
      <w:r w:rsidRPr="00852D3D">
        <w:rPr>
          <w:rStyle w:val="FootnoteReference"/>
          <w:rFonts w:asciiTheme="minorHAnsi" w:hAnsiTheme="minorHAnsi" w:cstheme="minorHAnsi"/>
          <w:sz w:val="18"/>
          <w:szCs w:val="18"/>
        </w:rPr>
        <w:footnoteRef/>
      </w:r>
      <w:r w:rsidRPr="00852D3D">
        <w:rPr>
          <w:rFonts w:asciiTheme="minorHAnsi" w:hAnsiTheme="minorHAnsi" w:cstheme="minorHAnsi"/>
          <w:sz w:val="18"/>
          <w:szCs w:val="18"/>
        </w:rPr>
        <w:t xml:space="preserve"> https://www.gov.uk/government/publications/charity-commission-statement-of-mission-regulatory-approach-and-values/charity-commission-statement-of-mission-regulatory-approach-and-values#our-statutory-objectives</w:t>
      </w:r>
    </w:p>
  </w:footnote>
  <w:footnote w:id="21">
    <w:p w:rsidR="00F158F9" w:rsidRPr="00852D3D" w:rsidRDefault="00F158F9" w:rsidP="0059588A">
      <w:pPr>
        <w:pStyle w:val="FootnoteText"/>
        <w:rPr>
          <w:rFonts w:asciiTheme="minorHAnsi" w:hAnsiTheme="minorHAnsi" w:cstheme="minorHAnsi"/>
          <w:sz w:val="18"/>
          <w:szCs w:val="18"/>
        </w:rPr>
      </w:pPr>
      <w:r w:rsidRPr="00852D3D">
        <w:rPr>
          <w:rStyle w:val="FootnoteReference"/>
          <w:rFonts w:asciiTheme="minorHAnsi" w:hAnsiTheme="minorHAnsi" w:cstheme="minorHAnsi"/>
          <w:sz w:val="18"/>
          <w:szCs w:val="18"/>
        </w:rPr>
        <w:footnoteRef/>
      </w:r>
      <w:r w:rsidRPr="00852D3D">
        <w:rPr>
          <w:rFonts w:asciiTheme="minorHAnsi" w:hAnsiTheme="minorHAnsi" w:cstheme="minorHAnsi"/>
          <w:sz w:val="18"/>
          <w:szCs w:val="18"/>
        </w:rPr>
        <w:t xml:space="preserve">  ‘Stronger charities for a stronger society’. House of Lords Select Committee on Charities Report of Session 2016–17 HL Paper 133, 26 March 2017  pp100-103</w:t>
      </w:r>
    </w:p>
  </w:footnote>
  <w:footnote w:id="22">
    <w:p w:rsidR="00050476" w:rsidRPr="00E74E0C" w:rsidRDefault="00050476" w:rsidP="00050476">
      <w:pPr>
        <w:pStyle w:val="FootnoteText"/>
        <w:rPr>
          <w:rFonts w:asciiTheme="minorHAnsi" w:hAnsiTheme="minorHAnsi" w:cstheme="minorHAnsi"/>
        </w:rPr>
      </w:pPr>
      <w:r w:rsidRPr="00852D3D">
        <w:rPr>
          <w:rStyle w:val="FootnoteReference"/>
          <w:rFonts w:asciiTheme="minorHAnsi" w:hAnsiTheme="minorHAnsi" w:cstheme="minorHAnsi"/>
          <w:sz w:val="18"/>
          <w:szCs w:val="18"/>
        </w:rPr>
        <w:footnoteRef/>
      </w:r>
      <w:r w:rsidRPr="00852D3D">
        <w:rPr>
          <w:rFonts w:asciiTheme="minorHAnsi" w:hAnsiTheme="minorHAnsi" w:cstheme="minorHAnsi"/>
          <w:sz w:val="18"/>
          <w:szCs w:val="18"/>
        </w:rPr>
        <w:t xml:space="preserve"> Productivity Commission draft report on Inquiry into Human Services</w:t>
      </w:r>
    </w:p>
  </w:footnote>
  <w:footnote w:id="23">
    <w:p w:rsidR="00F158F9" w:rsidRPr="00852D3D" w:rsidRDefault="00F158F9" w:rsidP="00314074">
      <w:pPr>
        <w:pStyle w:val="FootnoteText"/>
        <w:rPr>
          <w:rFonts w:asciiTheme="minorHAnsi" w:hAnsiTheme="minorHAnsi" w:cstheme="minorHAnsi"/>
          <w:sz w:val="18"/>
          <w:szCs w:val="18"/>
        </w:rPr>
      </w:pPr>
      <w:r w:rsidRPr="00852D3D">
        <w:rPr>
          <w:rStyle w:val="FootnoteReference"/>
          <w:rFonts w:asciiTheme="minorHAnsi" w:hAnsiTheme="minorHAnsi" w:cstheme="minorHAnsi"/>
          <w:sz w:val="18"/>
          <w:szCs w:val="18"/>
        </w:rPr>
        <w:footnoteRef/>
      </w:r>
      <w:r w:rsidRPr="00852D3D">
        <w:rPr>
          <w:rFonts w:asciiTheme="minorHAnsi" w:hAnsiTheme="minorHAnsi" w:cstheme="minorHAnsi"/>
          <w:sz w:val="18"/>
          <w:szCs w:val="18"/>
        </w:rPr>
        <w:t xml:space="preserve"> </w:t>
      </w:r>
      <w:r w:rsidRPr="00852D3D">
        <w:rPr>
          <w:rFonts w:asciiTheme="minorHAnsi" w:hAnsiTheme="minorHAnsi" w:cstheme="minorHAnsi"/>
          <w:i/>
          <w:sz w:val="18"/>
          <w:szCs w:val="18"/>
        </w:rPr>
        <w:t>Program Related Investments – an Opportunity for Australia</w:t>
      </w:r>
      <w:r w:rsidRPr="00852D3D">
        <w:rPr>
          <w:rFonts w:asciiTheme="minorHAnsi" w:hAnsiTheme="minorHAnsi" w:cstheme="minorHAnsi"/>
          <w:sz w:val="18"/>
          <w:szCs w:val="18"/>
        </w:rPr>
        <w:t>.  A report prepared by Philanthropy Australia for DSS to assist the Prime Minister’s Community Business Partnership, November 2015</w:t>
      </w:r>
    </w:p>
  </w:footnote>
  <w:footnote w:id="24">
    <w:p w:rsidR="00F158F9" w:rsidRPr="00852D3D" w:rsidRDefault="00F158F9">
      <w:pPr>
        <w:pStyle w:val="FootnoteText"/>
        <w:rPr>
          <w:rFonts w:asciiTheme="minorHAnsi" w:hAnsiTheme="minorHAnsi" w:cstheme="minorHAnsi"/>
          <w:sz w:val="18"/>
          <w:szCs w:val="18"/>
        </w:rPr>
      </w:pPr>
      <w:r w:rsidRPr="00852D3D">
        <w:rPr>
          <w:rStyle w:val="FootnoteReference"/>
          <w:rFonts w:asciiTheme="minorHAnsi" w:hAnsiTheme="minorHAnsi" w:cstheme="minorHAnsi"/>
          <w:sz w:val="18"/>
          <w:szCs w:val="18"/>
        </w:rPr>
        <w:footnoteRef/>
      </w:r>
      <w:r w:rsidRPr="00852D3D">
        <w:rPr>
          <w:rFonts w:asciiTheme="minorHAnsi" w:hAnsiTheme="minorHAnsi" w:cstheme="minorHAnsi"/>
          <w:sz w:val="18"/>
          <w:szCs w:val="18"/>
        </w:rPr>
        <w:t xml:space="preserve"> ‘Charity reserves: financial stability and sustainability’ </w:t>
      </w:r>
      <w:hyperlink r:id="rId8" w:history="1">
        <w:r w:rsidRPr="00852D3D">
          <w:rPr>
            <w:rStyle w:val="Hyperlink"/>
            <w:rFonts w:asciiTheme="minorHAnsi" w:hAnsiTheme="minorHAnsi" w:cstheme="minorHAnsi"/>
            <w:sz w:val="18"/>
            <w:szCs w:val="18"/>
          </w:rPr>
          <w:t>https://www.acnc.gov.au</w:t>
        </w:r>
      </w:hyperlink>
      <w:r w:rsidRPr="00852D3D">
        <w:rPr>
          <w:rFonts w:asciiTheme="minorHAnsi" w:hAnsiTheme="minorHAnsi" w:cstheme="minorHAnsi"/>
          <w:sz w:val="18"/>
          <w:szCs w:val="18"/>
        </w:rPr>
        <w:t xml:space="preserve"> </w:t>
      </w:r>
    </w:p>
  </w:footnote>
  <w:footnote w:id="25">
    <w:p w:rsidR="00F158F9" w:rsidRPr="007214D7" w:rsidRDefault="00F158F9" w:rsidP="006130EB">
      <w:pPr>
        <w:pStyle w:val="FootnoteText"/>
      </w:pPr>
      <w:r w:rsidRPr="00852D3D">
        <w:rPr>
          <w:rStyle w:val="FootnoteReference"/>
          <w:rFonts w:asciiTheme="minorHAnsi" w:hAnsiTheme="minorHAnsi" w:cstheme="minorHAnsi"/>
          <w:sz w:val="18"/>
          <w:szCs w:val="18"/>
        </w:rPr>
        <w:footnoteRef/>
      </w:r>
      <w:r w:rsidRPr="00852D3D">
        <w:rPr>
          <w:rFonts w:asciiTheme="minorHAnsi" w:hAnsiTheme="minorHAnsi" w:cstheme="minorHAnsi"/>
          <w:sz w:val="18"/>
          <w:szCs w:val="18"/>
        </w:rPr>
        <w:t xml:space="preserve"> </w:t>
      </w:r>
      <w:r w:rsidRPr="00852D3D">
        <w:rPr>
          <w:rFonts w:asciiTheme="minorHAnsi" w:hAnsiTheme="minorHAnsi" w:cstheme="minorHAnsi"/>
          <w:i/>
          <w:sz w:val="18"/>
          <w:szCs w:val="18"/>
        </w:rPr>
        <w:t>Innovation Index for the Australian NFP sector 2017</w:t>
      </w:r>
    </w:p>
  </w:footnote>
  <w:footnote w:id="26">
    <w:p w:rsidR="00F158F9" w:rsidRPr="00852D3D" w:rsidRDefault="00F158F9">
      <w:pPr>
        <w:pStyle w:val="FootnoteText"/>
        <w:rPr>
          <w:rFonts w:asciiTheme="minorHAnsi" w:hAnsiTheme="minorHAnsi" w:cstheme="minorHAnsi"/>
          <w:sz w:val="18"/>
          <w:szCs w:val="18"/>
        </w:rPr>
      </w:pPr>
      <w:r w:rsidRPr="00852D3D">
        <w:rPr>
          <w:rStyle w:val="FootnoteReference"/>
          <w:rFonts w:asciiTheme="minorHAnsi" w:hAnsiTheme="minorHAnsi" w:cstheme="minorHAnsi"/>
          <w:sz w:val="18"/>
          <w:szCs w:val="18"/>
        </w:rPr>
        <w:footnoteRef/>
      </w:r>
      <w:r w:rsidRPr="00852D3D">
        <w:rPr>
          <w:rFonts w:asciiTheme="minorHAnsi" w:hAnsiTheme="minorHAnsi" w:cstheme="minorHAnsi"/>
          <w:sz w:val="18"/>
          <w:szCs w:val="18"/>
        </w:rPr>
        <w:t xml:space="preserve"> https://www.childabuseroyalcommission.gov.au/recommendations</w:t>
      </w:r>
    </w:p>
  </w:footnote>
  <w:footnote w:id="27">
    <w:p w:rsidR="00F158F9" w:rsidRPr="003A602C" w:rsidRDefault="00F158F9" w:rsidP="00B16D8B">
      <w:pPr>
        <w:pStyle w:val="FootnoteText"/>
        <w:rPr>
          <w:rFonts w:asciiTheme="minorHAnsi" w:hAnsiTheme="minorHAnsi" w:cstheme="minorHAnsi"/>
          <w:sz w:val="18"/>
          <w:szCs w:val="18"/>
        </w:rPr>
      </w:pPr>
      <w:r w:rsidRPr="003A602C">
        <w:rPr>
          <w:rStyle w:val="FootnoteReference"/>
          <w:rFonts w:asciiTheme="minorHAnsi" w:hAnsiTheme="minorHAnsi" w:cstheme="minorHAnsi"/>
          <w:sz w:val="18"/>
          <w:szCs w:val="18"/>
        </w:rPr>
        <w:footnoteRef/>
      </w:r>
      <w:r w:rsidRPr="003A602C">
        <w:rPr>
          <w:rFonts w:asciiTheme="minorHAnsi" w:hAnsiTheme="minorHAnsi" w:cstheme="minorHAnsi"/>
          <w:sz w:val="18"/>
          <w:szCs w:val="18"/>
        </w:rPr>
        <w:t xml:space="preserve"> </w:t>
      </w:r>
      <w:hyperlink r:id="rId9" w:history="1">
        <w:r w:rsidRPr="003A602C">
          <w:rPr>
            <w:rStyle w:val="Hyperlink"/>
            <w:rFonts w:asciiTheme="minorHAnsi" w:hAnsiTheme="minorHAnsi" w:cstheme="minorHAnsi"/>
            <w:sz w:val="18"/>
            <w:szCs w:val="18"/>
          </w:rPr>
          <w:t>https://gr-eat.eu/the-volunteer-passport-france-benevolat/</w:t>
        </w:r>
      </w:hyperlink>
      <w:r w:rsidRPr="003A602C">
        <w:rPr>
          <w:rFonts w:asciiTheme="minorHAnsi" w:hAnsiTheme="minorHAnsi" w:cstheme="minorHAnsi"/>
          <w:sz w:val="18"/>
          <w:szCs w:val="18"/>
        </w:rPr>
        <w:t xml:space="preserve"> </w:t>
      </w:r>
    </w:p>
  </w:footnote>
  <w:footnote w:id="28">
    <w:p w:rsidR="00F158F9" w:rsidRDefault="00F158F9">
      <w:pPr>
        <w:pStyle w:val="FootnoteText"/>
      </w:pPr>
      <w:r w:rsidRPr="003A602C">
        <w:rPr>
          <w:rStyle w:val="FootnoteReference"/>
          <w:rFonts w:asciiTheme="minorHAnsi" w:hAnsiTheme="minorHAnsi" w:cstheme="minorHAnsi"/>
          <w:sz w:val="18"/>
          <w:szCs w:val="18"/>
        </w:rPr>
        <w:footnoteRef/>
      </w:r>
      <w:r w:rsidRPr="003A602C">
        <w:rPr>
          <w:rFonts w:asciiTheme="minorHAnsi" w:hAnsiTheme="minorHAnsi" w:cstheme="minorHAnsi"/>
          <w:sz w:val="18"/>
          <w:szCs w:val="18"/>
        </w:rPr>
        <w:t xml:space="preserve"> </w:t>
      </w:r>
      <w:hyperlink r:id="rId10" w:anchor="volunteer-management" w:history="1">
        <w:r w:rsidRPr="003A602C">
          <w:rPr>
            <w:rStyle w:val="Hyperlink"/>
            <w:rFonts w:asciiTheme="minorHAnsi" w:hAnsiTheme="minorHAnsi" w:cstheme="minorHAnsi"/>
            <w:sz w:val="18"/>
            <w:szCs w:val="18"/>
          </w:rPr>
          <w:t>https://www.becollective.com/features/#volunteer-management</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8F9" w:rsidRDefault="00F158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8F9" w:rsidRDefault="00F158F9" w:rsidP="00A64CFD">
    <w:pPr>
      <w:pStyle w:val="Header"/>
      <w:jc w:val="center"/>
      <w:rPr>
        <w:rFonts w:cs="Arial"/>
        <w:sz w:val="20"/>
        <w:szCs w:val="20"/>
      </w:rPr>
    </w:pPr>
    <w:r>
      <w:rPr>
        <w:noProof/>
        <w:color w:val="0000FF"/>
        <w:sz w:val="20"/>
        <w:lang w:eastAsia="en-AU"/>
      </w:rPr>
      <w:drawing>
        <wp:inline distT="0" distB="0" distL="0" distR="0" wp14:anchorId="322A5B8D" wp14:editId="1E06FFB9">
          <wp:extent cx="882594" cy="661946"/>
          <wp:effectExtent l="0" t="0" r="0" b="5080"/>
          <wp:docPr id="1" name="Picture 1" descr="mini aus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ni aust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8665" cy="673999"/>
                  </a:xfrm>
                  <a:prstGeom prst="rect">
                    <a:avLst/>
                  </a:prstGeom>
                  <a:noFill/>
                  <a:ln>
                    <a:noFill/>
                  </a:ln>
                </pic:spPr>
              </pic:pic>
            </a:graphicData>
          </a:graphic>
        </wp:inline>
      </w:drawing>
    </w:r>
  </w:p>
  <w:p w:rsidR="00F158F9" w:rsidRDefault="00F158F9" w:rsidP="00A64CFD">
    <w:pPr>
      <w:pStyle w:val="Header"/>
      <w:jc w:val="center"/>
      <w:rPr>
        <w:rFonts w:ascii="Times New Roman" w:hAnsi="Times New Roman" w:cs="Times New Roman"/>
        <w:b/>
        <w:sz w:val="24"/>
        <w:szCs w:val="24"/>
      </w:rPr>
    </w:pPr>
    <w:r w:rsidRPr="00D8415D">
      <w:rPr>
        <w:rFonts w:cs="Arial"/>
        <w:sz w:val="20"/>
        <w:szCs w:val="20"/>
      </w:rPr>
      <w:t xml:space="preserve"> </w:t>
    </w:r>
    <w:r w:rsidRPr="00260637">
      <w:rPr>
        <w:rFonts w:ascii="Times New Roman" w:hAnsi="Times New Roman" w:cs="Times New Roman"/>
        <w:b/>
        <w:sz w:val="24"/>
        <w:szCs w:val="24"/>
      </w:rPr>
      <w:t>Australian Government</w:t>
    </w:r>
  </w:p>
  <w:p w:rsidR="00F158F9" w:rsidRDefault="00F158F9" w:rsidP="00A64CFD">
    <w:pPr>
      <w:pStyle w:val="Header"/>
      <w:jc w:val="center"/>
      <w:rPr>
        <w:rFonts w:ascii="Times New Roman" w:hAnsi="Times New Roman" w:cs="Times New Roman"/>
        <w:b/>
        <w:sz w:val="24"/>
        <w:szCs w:val="24"/>
      </w:rPr>
    </w:pPr>
    <w:r>
      <w:rPr>
        <w:rFonts w:ascii="Times New Roman" w:hAnsi="Times New Roman" w:cs="Times New Roman"/>
        <w:b/>
        <w:sz w:val="24"/>
        <w:szCs w:val="24"/>
      </w:rPr>
      <w:t>Prime Minister’s Community Business Partnership</w:t>
    </w:r>
  </w:p>
  <w:p w:rsidR="00F158F9" w:rsidRDefault="00F158F9" w:rsidP="00ED267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60417"/>
    <w:multiLevelType w:val="hybridMultilevel"/>
    <w:tmpl w:val="1E40D406"/>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 w15:restartNumberingAfterBreak="0">
    <w:nsid w:val="0A476895"/>
    <w:multiLevelType w:val="hybridMultilevel"/>
    <w:tmpl w:val="D4344820"/>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D2E5910"/>
    <w:multiLevelType w:val="hybridMultilevel"/>
    <w:tmpl w:val="F31C01B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0653560"/>
    <w:multiLevelType w:val="multilevel"/>
    <w:tmpl w:val="72F8140E"/>
    <w:styleLink w:val="OutlineList"/>
    <w:lvl w:ilvl="0">
      <w:start w:val="1"/>
      <w:numFmt w:val="decimal"/>
      <w:pStyle w:val="OutlineNumbered1"/>
      <w:lvlText w:val="%1."/>
      <w:lvlJc w:val="left"/>
      <w:pPr>
        <w:tabs>
          <w:tab w:val="num" w:pos="851"/>
        </w:tabs>
        <w:ind w:left="851" w:hanging="851"/>
      </w:pPr>
      <w:rPr>
        <w:rFonts w:hint="default"/>
      </w:rPr>
    </w:lvl>
    <w:lvl w:ilvl="1">
      <w:start w:val="1"/>
      <w:numFmt w:val="decimal"/>
      <w:pStyle w:val="OutlineNumbered2"/>
      <w:lvlText w:val="%1.%2"/>
      <w:lvlJc w:val="left"/>
      <w:pPr>
        <w:tabs>
          <w:tab w:val="num" w:pos="1134"/>
        </w:tabs>
        <w:ind w:left="1134" w:hanging="1134"/>
      </w:pPr>
      <w:rPr>
        <w:rFonts w:hint="default"/>
      </w:rPr>
    </w:lvl>
    <w:lvl w:ilvl="2">
      <w:start w:val="1"/>
      <w:numFmt w:val="decimal"/>
      <w:pStyle w:val="OutlineNumbered3"/>
      <w:lvlText w:val="%1.%2.%3"/>
      <w:lvlJc w:val="left"/>
      <w:pPr>
        <w:tabs>
          <w:tab w:val="num" w:pos="1418"/>
        </w:tabs>
        <w:ind w:left="1418" w:hanging="141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46B041F"/>
    <w:multiLevelType w:val="hybridMultilevel"/>
    <w:tmpl w:val="FB989014"/>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160737F3"/>
    <w:multiLevelType w:val="multilevel"/>
    <w:tmpl w:val="24CC1D40"/>
    <w:lvl w:ilvl="0">
      <w:start w:val="1"/>
      <w:numFmt w:val="bullet"/>
      <w:lvlText w:val=""/>
      <w:lvlJc w:val="left"/>
      <w:pPr>
        <w:tabs>
          <w:tab w:val="num" w:pos="520"/>
        </w:tabs>
        <w:ind w:left="520" w:hanging="520"/>
      </w:pPr>
      <w:rPr>
        <w:rFonts w:ascii="Symbol" w:hAnsi="Symbol" w:hint="default"/>
      </w:rPr>
    </w:lvl>
    <w:lvl w:ilvl="1">
      <w:start w:val="1"/>
      <w:numFmt w:val="decimal"/>
      <w:lvlText w:val="%1.%2."/>
      <w:lvlJc w:val="left"/>
      <w:pPr>
        <w:tabs>
          <w:tab w:val="num" w:pos="1040"/>
        </w:tabs>
        <w:ind w:left="1040" w:hanging="520"/>
      </w:pPr>
    </w:lvl>
    <w:lvl w:ilvl="2">
      <w:start w:val="1"/>
      <w:numFmt w:val="decimal"/>
      <w:lvlText w:val="%1.%2.%3."/>
      <w:lvlJc w:val="left"/>
      <w:pPr>
        <w:tabs>
          <w:tab w:val="num" w:pos="1560"/>
        </w:tabs>
        <w:ind w:left="1560" w:hanging="52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65C09EC"/>
    <w:multiLevelType w:val="hybridMultilevel"/>
    <w:tmpl w:val="A85C4C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994749F"/>
    <w:multiLevelType w:val="hybridMultilevel"/>
    <w:tmpl w:val="998AAAAE"/>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1C3556CA"/>
    <w:multiLevelType w:val="hybridMultilevel"/>
    <w:tmpl w:val="2E1AF384"/>
    <w:lvl w:ilvl="0" w:tplc="B0DC8126">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20076AE1"/>
    <w:multiLevelType w:val="hybridMultilevel"/>
    <w:tmpl w:val="F6D60C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2B64BF6"/>
    <w:multiLevelType w:val="hybridMultilevel"/>
    <w:tmpl w:val="CB24C250"/>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6FC5D6F"/>
    <w:multiLevelType w:val="hybridMultilevel"/>
    <w:tmpl w:val="8BEC41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7EC3F9E"/>
    <w:multiLevelType w:val="hybridMultilevel"/>
    <w:tmpl w:val="C9101062"/>
    <w:lvl w:ilvl="0" w:tplc="FADA30CE">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D136168"/>
    <w:multiLevelType w:val="hybridMultilevel"/>
    <w:tmpl w:val="9320D3B2"/>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2DA8323C"/>
    <w:multiLevelType w:val="hybridMultilevel"/>
    <w:tmpl w:val="D236DE60"/>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2EEC3F4B"/>
    <w:multiLevelType w:val="hybridMultilevel"/>
    <w:tmpl w:val="D5F26412"/>
    <w:lvl w:ilvl="0" w:tplc="0C090017">
      <w:start w:val="1"/>
      <w:numFmt w:val="lowerLetter"/>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2F31373D"/>
    <w:multiLevelType w:val="hybridMultilevel"/>
    <w:tmpl w:val="CCB012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2F6C72B6"/>
    <w:multiLevelType w:val="hybridMultilevel"/>
    <w:tmpl w:val="21B2FDF4"/>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31DB6461"/>
    <w:multiLevelType w:val="hybridMultilevel"/>
    <w:tmpl w:val="F63AB156"/>
    <w:lvl w:ilvl="0" w:tplc="FADA30CE">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36B87046"/>
    <w:multiLevelType w:val="hybridMultilevel"/>
    <w:tmpl w:val="007CE2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372E2670"/>
    <w:multiLevelType w:val="hybridMultilevel"/>
    <w:tmpl w:val="ACDCFC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387472D3"/>
    <w:multiLevelType w:val="hybridMultilevel"/>
    <w:tmpl w:val="959024B0"/>
    <w:lvl w:ilvl="0" w:tplc="7D28D532">
      <w:start w:val="1"/>
      <w:numFmt w:val="bullet"/>
      <w:pStyle w:val="GivingReportBulletlevel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2661D0"/>
    <w:multiLevelType w:val="hybridMultilevel"/>
    <w:tmpl w:val="6300724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3CFA0034"/>
    <w:multiLevelType w:val="hybridMultilevel"/>
    <w:tmpl w:val="A6CC8C78"/>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459C2D1E"/>
    <w:multiLevelType w:val="hybridMultilevel"/>
    <w:tmpl w:val="15BAE54A"/>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45E179CA"/>
    <w:multiLevelType w:val="hybridMultilevel"/>
    <w:tmpl w:val="24A8B5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47AC5FF2"/>
    <w:multiLevelType w:val="hybridMultilevel"/>
    <w:tmpl w:val="2C90FAF0"/>
    <w:lvl w:ilvl="0" w:tplc="0C090001">
      <w:start w:val="1"/>
      <w:numFmt w:val="bullet"/>
      <w:lvlText w:val=""/>
      <w:lvlJc w:val="left"/>
      <w:pPr>
        <w:ind w:left="770" w:hanging="360"/>
      </w:pPr>
      <w:rPr>
        <w:rFonts w:ascii="Symbol" w:hAnsi="Symbol"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27" w15:restartNumberingAfterBreak="0">
    <w:nsid w:val="4A304E07"/>
    <w:multiLevelType w:val="hybridMultilevel"/>
    <w:tmpl w:val="4F225AB0"/>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4A864CD4"/>
    <w:multiLevelType w:val="hybridMultilevel"/>
    <w:tmpl w:val="54FCCF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4ABB3654"/>
    <w:multiLevelType w:val="hybridMultilevel"/>
    <w:tmpl w:val="40C05FD0"/>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4E497988"/>
    <w:multiLevelType w:val="hybridMultilevel"/>
    <w:tmpl w:val="36F82B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510163D8"/>
    <w:multiLevelType w:val="multilevel"/>
    <w:tmpl w:val="39409C66"/>
    <w:lvl w:ilvl="0">
      <w:start w:val="1"/>
      <w:numFmt w:val="bullet"/>
      <w:lvlText w:val=""/>
      <w:lvlJc w:val="left"/>
      <w:pPr>
        <w:tabs>
          <w:tab w:val="num" w:pos="520"/>
        </w:tabs>
        <w:ind w:left="520" w:hanging="520"/>
      </w:pPr>
      <w:rPr>
        <w:rFonts w:ascii="Symbol" w:hAnsi="Symbol" w:hint="default"/>
      </w:rPr>
    </w:lvl>
    <w:lvl w:ilvl="1">
      <w:start w:val="1"/>
      <w:numFmt w:val="decimal"/>
      <w:lvlText w:val="%1.%2."/>
      <w:lvlJc w:val="left"/>
      <w:pPr>
        <w:tabs>
          <w:tab w:val="num" w:pos="1040"/>
        </w:tabs>
        <w:ind w:left="1040" w:hanging="520"/>
      </w:pPr>
    </w:lvl>
    <w:lvl w:ilvl="2">
      <w:start w:val="1"/>
      <w:numFmt w:val="decimal"/>
      <w:lvlText w:val="%1.%2.%3."/>
      <w:lvlJc w:val="left"/>
      <w:pPr>
        <w:tabs>
          <w:tab w:val="num" w:pos="1560"/>
        </w:tabs>
        <w:ind w:left="1560" w:hanging="52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10D2021"/>
    <w:multiLevelType w:val="multilevel"/>
    <w:tmpl w:val="72F8140E"/>
    <w:numStyleLink w:val="OutlineList"/>
  </w:abstractNum>
  <w:abstractNum w:abstractNumId="33" w15:restartNumberingAfterBreak="0">
    <w:nsid w:val="598628CD"/>
    <w:multiLevelType w:val="hybridMultilevel"/>
    <w:tmpl w:val="D88067AC"/>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15:restartNumberingAfterBreak="0">
    <w:nsid w:val="5A5821A6"/>
    <w:multiLevelType w:val="hybridMultilevel"/>
    <w:tmpl w:val="4AA63F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64E62321"/>
    <w:multiLevelType w:val="hybridMultilevel"/>
    <w:tmpl w:val="053C0980"/>
    <w:lvl w:ilvl="0" w:tplc="0C090001">
      <w:start w:val="1"/>
      <w:numFmt w:val="bullet"/>
      <w:lvlText w:val=""/>
      <w:lvlJc w:val="left"/>
      <w:pPr>
        <w:ind w:left="720" w:hanging="360"/>
      </w:pPr>
      <w:rPr>
        <w:rFonts w:ascii="Symbol" w:hAnsi="Symbol" w:hint="default"/>
      </w:rPr>
    </w:lvl>
    <w:lvl w:ilvl="1" w:tplc="0C090001">
      <w:start w:val="1"/>
      <w:numFmt w:val="bullet"/>
      <w:lvlText w:val=""/>
      <w:lvlJc w:val="left"/>
      <w:pPr>
        <w:ind w:left="1440" w:hanging="360"/>
      </w:pPr>
      <w:rPr>
        <w:rFonts w:ascii="Symbol" w:hAnsi="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6B81026F"/>
    <w:multiLevelType w:val="hybridMultilevel"/>
    <w:tmpl w:val="0680A9B6"/>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7" w15:restartNumberingAfterBreak="0">
    <w:nsid w:val="6C356EBC"/>
    <w:multiLevelType w:val="hybridMultilevel"/>
    <w:tmpl w:val="2E1AF384"/>
    <w:lvl w:ilvl="0" w:tplc="B0DC8126">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 w15:restartNumberingAfterBreak="0">
    <w:nsid w:val="72531DFE"/>
    <w:multiLevelType w:val="hybridMultilevel"/>
    <w:tmpl w:val="883CE38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737F2E09"/>
    <w:multiLevelType w:val="hybridMultilevel"/>
    <w:tmpl w:val="97841F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754A646A"/>
    <w:multiLevelType w:val="hybridMultilevel"/>
    <w:tmpl w:val="0C821B84"/>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1" w15:restartNumberingAfterBreak="0">
    <w:nsid w:val="75726079"/>
    <w:multiLevelType w:val="hybridMultilevel"/>
    <w:tmpl w:val="985A36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7B8E594B"/>
    <w:multiLevelType w:val="hybridMultilevel"/>
    <w:tmpl w:val="9BE4E8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8"/>
  </w:num>
  <w:num w:numId="2">
    <w:abstractNumId w:val="20"/>
  </w:num>
  <w:num w:numId="3">
    <w:abstractNumId w:val="19"/>
  </w:num>
  <w:num w:numId="4">
    <w:abstractNumId w:val="42"/>
  </w:num>
  <w:num w:numId="5">
    <w:abstractNumId w:val="28"/>
  </w:num>
  <w:num w:numId="6">
    <w:abstractNumId w:val="16"/>
  </w:num>
  <w:num w:numId="7">
    <w:abstractNumId w:val="2"/>
  </w:num>
  <w:num w:numId="8">
    <w:abstractNumId w:val="22"/>
  </w:num>
  <w:num w:numId="9">
    <w:abstractNumId w:val="15"/>
  </w:num>
  <w:num w:numId="10">
    <w:abstractNumId w:val="3"/>
  </w:num>
  <w:num w:numId="11">
    <w:abstractNumId w:val="32"/>
  </w:num>
  <w:num w:numId="12">
    <w:abstractNumId w:val="25"/>
  </w:num>
  <w:num w:numId="13">
    <w:abstractNumId w:val="21"/>
  </w:num>
  <w:num w:numId="14">
    <w:abstractNumId w:val="31"/>
  </w:num>
  <w:num w:numId="15">
    <w:abstractNumId w:val="5"/>
  </w:num>
  <w:num w:numId="16">
    <w:abstractNumId w:val="6"/>
  </w:num>
  <w:num w:numId="17">
    <w:abstractNumId w:val="0"/>
  </w:num>
  <w:num w:numId="18">
    <w:abstractNumId w:val="35"/>
  </w:num>
  <w:num w:numId="19">
    <w:abstractNumId w:val="41"/>
  </w:num>
  <w:num w:numId="20">
    <w:abstractNumId w:val="12"/>
  </w:num>
  <w:num w:numId="21">
    <w:abstractNumId w:val="18"/>
  </w:num>
  <w:num w:numId="22">
    <w:abstractNumId w:val="34"/>
  </w:num>
  <w:num w:numId="23">
    <w:abstractNumId w:val="7"/>
  </w:num>
  <w:num w:numId="24">
    <w:abstractNumId w:val="23"/>
  </w:num>
  <w:num w:numId="25">
    <w:abstractNumId w:val="10"/>
  </w:num>
  <w:num w:numId="26">
    <w:abstractNumId w:val="1"/>
  </w:num>
  <w:num w:numId="27">
    <w:abstractNumId w:val="37"/>
  </w:num>
  <w:num w:numId="28">
    <w:abstractNumId w:val="30"/>
  </w:num>
  <w:num w:numId="29">
    <w:abstractNumId w:val="13"/>
  </w:num>
  <w:num w:numId="30">
    <w:abstractNumId w:val="33"/>
  </w:num>
  <w:num w:numId="31">
    <w:abstractNumId w:val="29"/>
  </w:num>
  <w:num w:numId="32">
    <w:abstractNumId w:val="36"/>
  </w:num>
  <w:num w:numId="33">
    <w:abstractNumId w:val="11"/>
  </w:num>
  <w:num w:numId="34">
    <w:abstractNumId w:val="14"/>
  </w:num>
  <w:num w:numId="35">
    <w:abstractNumId w:val="40"/>
  </w:num>
  <w:num w:numId="36">
    <w:abstractNumId w:val="27"/>
  </w:num>
  <w:num w:numId="37">
    <w:abstractNumId w:val="9"/>
  </w:num>
  <w:num w:numId="38">
    <w:abstractNumId w:val="26"/>
  </w:num>
  <w:num w:numId="39">
    <w:abstractNumId w:val="17"/>
  </w:num>
  <w:num w:numId="40">
    <w:abstractNumId w:val="8"/>
  </w:num>
  <w:num w:numId="41">
    <w:abstractNumId w:val="39"/>
  </w:num>
  <w:num w:numId="42">
    <w:abstractNumId w:val="4"/>
  </w:num>
  <w:num w:numId="43">
    <w:abstractNumId w:val="2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4398"/>
    <w:rsid w:val="0000045C"/>
    <w:rsid w:val="00000A7A"/>
    <w:rsid w:val="00002AD1"/>
    <w:rsid w:val="00003CE0"/>
    <w:rsid w:val="0000410E"/>
    <w:rsid w:val="00005633"/>
    <w:rsid w:val="00011106"/>
    <w:rsid w:val="00011548"/>
    <w:rsid w:val="00011BD6"/>
    <w:rsid w:val="00011DA4"/>
    <w:rsid w:val="00013418"/>
    <w:rsid w:val="00017DA1"/>
    <w:rsid w:val="0002105F"/>
    <w:rsid w:val="00024568"/>
    <w:rsid w:val="00025691"/>
    <w:rsid w:val="000275F2"/>
    <w:rsid w:val="00032692"/>
    <w:rsid w:val="00040BE0"/>
    <w:rsid w:val="00040DB0"/>
    <w:rsid w:val="00041852"/>
    <w:rsid w:val="00042A46"/>
    <w:rsid w:val="00043EFF"/>
    <w:rsid w:val="0004518D"/>
    <w:rsid w:val="00045A22"/>
    <w:rsid w:val="0005001E"/>
    <w:rsid w:val="00050476"/>
    <w:rsid w:val="000515CD"/>
    <w:rsid w:val="00054725"/>
    <w:rsid w:val="00057E82"/>
    <w:rsid w:val="0006550B"/>
    <w:rsid w:val="00066A68"/>
    <w:rsid w:val="000707B7"/>
    <w:rsid w:val="00071BCB"/>
    <w:rsid w:val="00074464"/>
    <w:rsid w:val="0008337C"/>
    <w:rsid w:val="000877C8"/>
    <w:rsid w:val="00087C09"/>
    <w:rsid w:val="00091939"/>
    <w:rsid w:val="00096F71"/>
    <w:rsid w:val="000A3296"/>
    <w:rsid w:val="000A4F98"/>
    <w:rsid w:val="000A7365"/>
    <w:rsid w:val="000B0012"/>
    <w:rsid w:val="000B218A"/>
    <w:rsid w:val="000B4D08"/>
    <w:rsid w:val="000B4E38"/>
    <w:rsid w:val="000B5542"/>
    <w:rsid w:val="000B61CD"/>
    <w:rsid w:val="000B7E48"/>
    <w:rsid w:val="000C43D1"/>
    <w:rsid w:val="000C4B69"/>
    <w:rsid w:val="000C57D8"/>
    <w:rsid w:val="000C73BE"/>
    <w:rsid w:val="000D2B47"/>
    <w:rsid w:val="000D40D9"/>
    <w:rsid w:val="000D49B9"/>
    <w:rsid w:val="000D5EC5"/>
    <w:rsid w:val="000D608B"/>
    <w:rsid w:val="000D6F11"/>
    <w:rsid w:val="000D7128"/>
    <w:rsid w:val="000D77AB"/>
    <w:rsid w:val="000E09EB"/>
    <w:rsid w:val="000E19B6"/>
    <w:rsid w:val="000E72E1"/>
    <w:rsid w:val="000E773D"/>
    <w:rsid w:val="000E7943"/>
    <w:rsid w:val="000F19EF"/>
    <w:rsid w:val="00100AA6"/>
    <w:rsid w:val="00104C52"/>
    <w:rsid w:val="0010720A"/>
    <w:rsid w:val="00111108"/>
    <w:rsid w:val="00112F16"/>
    <w:rsid w:val="00116F64"/>
    <w:rsid w:val="001170FC"/>
    <w:rsid w:val="00117B95"/>
    <w:rsid w:val="001207E0"/>
    <w:rsid w:val="00120AEA"/>
    <w:rsid w:val="00120D35"/>
    <w:rsid w:val="00121B42"/>
    <w:rsid w:val="001329BA"/>
    <w:rsid w:val="0013465F"/>
    <w:rsid w:val="00134D28"/>
    <w:rsid w:val="0013671B"/>
    <w:rsid w:val="00137DD9"/>
    <w:rsid w:val="00144F6F"/>
    <w:rsid w:val="0014501C"/>
    <w:rsid w:val="00145B6B"/>
    <w:rsid w:val="0014628B"/>
    <w:rsid w:val="00147542"/>
    <w:rsid w:val="001510AF"/>
    <w:rsid w:val="00154D56"/>
    <w:rsid w:val="00162DD0"/>
    <w:rsid w:val="001727BA"/>
    <w:rsid w:val="00172834"/>
    <w:rsid w:val="0017684A"/>
    <w:rsid w:val="00181806"/>
    <w:rsid w:val="001830EB"/>
    <w:rsid w:val="00186506"/>
    <w:rsid w:val="001879E3"/>
    <w:rsid w:val="00190C7F"/>
    <w:rsid w:val="0019584A"/>
    <w:rsid w:val="00195AB7"/>
    <w:rsid w:val="00196C84"/>
    <w:rsid w:val="00197375"/>
    <w:rsid w:val="001A1B50"/>
    <w:rsid w:val="001A1CC0"/>
    <w:rsid w:val="001A266A"/>
    <w:rsid w:val="001A7C99"/>
    <w:rsid w:val="001B0214"/>
    <w:rsid w:val="001B1512"/>
    <w:rsid w:val="001B2AC5"/>
    <w:rsid w:val="001B4315"/>
    <w:rsid w:val="001D0A04"/>
    <w:rsid w:val="001E2C19"/>
    <w:rsid w:val="001E367C"/>
    <w:rsid w:val="001E630D"/>
    <w:rsid w:val="001F1DC7"/>
    <w:rsid w:val="001F41DF"/>
    <w:rsid w:val="001F4802"/>
    <w:rsid w:val="00200A1D"/>
    <w:rsid w:val="00202226"/>
    <w:rsid w:val="00202613"/>
    <w:rsid w:val="002038E9"/>
    <w:rsid w:val="00205136"/>
    <w:rsid w:val="002064FD"/>
    <w:rsid w:val="002129D4"/>
    <w:rsid w:val="00217423"/>
    <w:rsid w:val="0022049F"/>
    <w:rsid w:val="002225DF"/>
    <w:rsid w:val="00223AC6"/>
    <w:rsid w:val="0022422B"/>
    <w:rsid w:val="00226526"/>
    <w:rsid w:val="00226965"/>
    <w:rsid w:val="0022728E"/>
    <w:rsid w:val="002277D9"/>
    <w:rsid w:val="00227FC8"/>
    <w:rsid w:val="002358F4"/>
    <w:rsid w:val="00240E43"/>
    <w:rsid w:val="00243FDE"/>
    <w:rsid w:val="00246D49"/>
    <w:rsid w:val="00250D56"/>
    <w:rsid w:val="0025350B"/>
    <w:rsid w:val="00253999"/>
    <w:rsid w:val="0025505A"/>
    <w:rsid w:val="00255BDD"/>
    <w:rsid w:val="00260637"/>
    <w:rsid w:val="002640B2"/>
    <w:rsid w:val="00265195"/>
    <w:rsid w:val="00271A7C"/>
    <w:rsid w:val="00272E64"/>
    <w:rsid w:val="00275CEC"/>
    <w:rsid w:val="00275DA2"/>
    <w:rsid w:val="0027705A"/>
    <w:rsid w:val="002778EB"/>
    <w:rsid w:val="002800CF"/>
    <w:rsid w:val="002804D3"/>
    <w:rsid w:val="00281E81"/>
    <w:rsid w:val="00284DC9"/>
    <w:rsid w:val="00285016"/>
    <w:rsid w:val="0028593D"/>
    <w:rsid w:val="00286B96"/>
    <w:rsid w:val="00286D10"/>
    <w:rsid w:val="002879FD"/>
    <w:rsid w:val="00296C4E"/>
    <w:rsid w:val="002A0ECD"/>
    <w:rsid w:val="002A29CF"/>
    <w:rsid w:val="002A34F4"/>
    <w:rsid w:val="002A7CFD"/>
    <w:rsid w:val="002B0F93"/>
    <w:rsid w:val="002B2389"/>
    <w:rsid w:val="002B36FB"/>
    <w:rsid w:val="002B6411"/>
    <w:rsid w:val="002C32B4"/>
    <w:rsid w:val="002C59EB"/>
    <w:rsid w:val="002C6000"/>
    <w:rsid w:val="002D0C90"/>
    <w:rsid w:val="002D2930"/>
    <w:rsid w:val="002D349B"/>
    <w:rsid w:val="002D41BC"/>
    <w:rsid w:val="002D4DCC"/>
    <w:rsid w:val="002D4DE9"/>
    <w:rsid w:val="002D5760"/>
    <w:rsid w:val="002D7B82"/>
    <w:rsid w:val="002E2745"/>
    <w:rsid w:val="002E29F2"/>
    <w:rsid w:val="002E3197"/>
    <w:rsid w:val="002E60B4"/>
    <w:rsid w:val="002F1406"/>
    <w:rsid w:val="002F14BB"/>
    <w:rsid w:val="002F21D5"/>
    <w:rsid w:val="002F3117"/>
    <w:rsid w:val="002F366E"/>
    <w:rsid w:val="002F7CDC"/>
    <w:rsid w:val="00301DFD"/>
    <w:rsid w:val="00302F67"/>
    <w:rsid w:val="0030406D"/>
    <w:rsid w:val="003127EB"/>
    <w:rsid w:val="00313B2D"/>
    <w:rsid w:val="00314074"/>
    <w:rsid w:val="003202EA"/>
    <w:rsid w:val="00320513"/>
    <w:rsid w:val="003228E9"/>
    <w:rsid w:val="003253D9"/>
    <w:rsid w:val="003254BA"/>
    <w:rsid w:val="003268DE"/>
    <w:rsid w:val="00331081"/>
    <w:rsid w:val="003356AC"/>
    <w:rsid w:val="00337409"/>
    <w:rsid w:val="00341FA4"/>
    <w:rsid w:val="003427E0"/>
    <w:rsid w:val="00343073"/>
    <w:rsid w:val="00343D3E"/>
    <w:rsid w:val="00344A35"/>
    <w:rsid w:val="003451F6"/>
    <w:rsid w:val="003523B0"/>
    <w:rsid w:val="00353634"/>
    <w:rsid w:val="00353A1B"/>
    <w:rsid w:val="0035766B"/>
    <w:rsid w:val="0036177C"/>
    <w:rsid w:val="00361810"/>
    <w:rsid w:val="00361EBC"/>
    <w:rsid w:val="00363672"/>
    <w:rsid w:val="00363B56"/>
    <w:rsid w:val="00370A36"/>
    <w:rsid w:val="00371DD8"/>
    <w:rsid w:val="0037548B"/>
    <w:rsid w:val="00377F6C"/>
    <w:rsid w:val="00380002"/>
    <w:rsid w:val="00381F58"/>
    <w:rsid w:val="0038486A"/>
    <w:rsid w:val="00387475"/>
    <w:rsid w:val="00390284"/>
    <w:rsid w:val="00391B80"/>
    <w:rsid w:val="003920D0"/>
    <w:rsid w:val="00396AC9"/>
    <w:rsid w:val="003974F5"/>
    <w:rsid w:val="003A2550"/>
    <w:rsid w:val="003A2D24"/>
    <w:rsid w:val="003A5463"/>
    <w:rsid w:val="003A602C"/>
    <w:rsid w:val="003A6F0F"/>
    <w:rsid w:val="003A704C"/>
    <w:rsid w:val="003B1F59"/>
    <w:rsid w:val="003B2BB8"/>
    <w:rsid w:val="003B3194"/>
    <w:rsid w:val="003B6394"/>
    <w:rsid w:val="003C17E4"/>
    <w:rsid w:val="003C1CC4"/>
    <w:rsid w:val="003C24D4"/>
    <w:rsid w:val="003C4CAA"/>
    <w:rsid w:val="003D34DC"/>
    <w:rsid w:val="003D34FF"/>
    <w:rsid w:val="003E3DA1"/>
    <w:rsid w:val="003E4122"/>
    <w:rsid w:val="003E4500"/>
    <w:rsid w:val="003E5077"/>
    <w:rsid w:val="003E6402"/>
    <w:rsid w:val="003F07D6"/>
    <w:rsid w:val="003F3920"/>
    <w:rsid w:val="003F628C"/>
    <w:rsid w:val="003F65E7"/>
    <w:rsid w:val="003F7F4A"/>
    <w:rsid w:val="004006F2"/>
    <w:rsid w:val="004018D7"/>
    <w:rsid w:val="00404FA4"/>
    <w:rsid w:val="00405CFD"/>
    <w:rsid w:val="00407101"/>
    <w:rsid w:val="00412378"/>
    <w:rsid w:val="004143F0"/>
    <w:rsid w:val="00415151"/>
    <w:rsid w:val="004164A5"/>
    <w:rsid w:val="0041690F"/>
    <w:rsid w:val="00417C60"/>
    <w:rsid w:val="004241B8"/>
    <w:rsid w:val="0042674D"/>
    <w:rsid w:val="004300B8"/>
    <w:rsid w:val="00433CFA"/>
    <w:rsid w:val="004344DE"/>
    <w:rsid w:val="00436AE0"/>
    <w:rsid w:val="00437834"/>
    <w:rsid w:val="00437C40"/>
    <w:rsid w:val="004412CC"/>
    <w:rsid w:val="00444BA3"/>
    <w:rsid w:val="004471E1"/>
    <w:rsid w:val="00453239"/>
    <w:rsid w:val="00454F47"/>
    <w:rsid w:val="00457A0B"/>
    <w:rsid w:val="004608EC"/>
    <w:rsid w:val="0046350A"/>
    <w:rsid w:val="004636A4"/>
    <w:rsid w:val="00463C3E"/>
    <w:rsid w:val="00463F84"/>
    <w:rsid w:val="00466537"/>
    <w:rsid w:val="0047095E"/>
    <w:rsid w:val="00471800"/>
    <w:rsid w:val="00472970"/>
    <w:rsid w:val="00472D8D"/>
    <w:rsid w:val="00473441"/>
    <w:rsid w:val="0047376A"/>
    <w:rsid w:val="00475493"/>
    <w:rsid w:val="004855D9"/>
    <w:rsid w:val="00486423"/>
    <w:rsid w:val="004866AB"/>
    <w:rsid w:val="004901D7"/>
    <w:rsid w:val="00490CFD"/>
    <w:rsid w:val="00491529"/>
    <w:rsid w:val="00492667"/>
    <w:rsid w:val="0049466E"/>
    <w:rsid w:val="00494FDB"/>
    <w:rsid w:val="0049618F"/>
    <w:rsid w:val="004979F9"/>
    <w:rsid w:val="004A26A5"/>
    <w:rsid w:val="004A3529"/>
    <w:rsid w:val="004A5AAE"/>
    <w:rsid w:val="004B03E3"/>
    <w:rsid w:val="004B34EF"/>
    <w:rsid w:val="004B54CA"/>
    <w:rsid w:val="004B7C74"/>
    <w:rsid w:val="004C037F"/>
    <w:rsid w:val="004C0E1C"/>
    <w:rsid w:val="004C217A"/>
    <w:rsid w:val="004C5C4B"/>
    <w:rsid w:val="004C6030"/>
    <w:rsid w:val="004C64FA"/>
    <w:rsid w:val="004C7274"/>
    <w:rsid w:val="004D0850"/>
    <w:rsid w:val="004D0928"/>
    <w:rsid w:val="004D0B59"/>
    <w:rsid w:val="004D1965"/>
    <w:rsid w:val="004D3039"/>
    <w:rsid w:val="004D3A8D"/>
    <w:rsid w:val="004D435D"/>
    <w:rsid w:val="004D6B3C"/>
    <w:rsid w:val="004E4F77"/>
    <w:rsid w:val="004E5523"/>
    <w:rsid w:val="004E5CBF"/>
    <w:rsid w:val="004E6AAB"/>
    <w:rsid w:val="004E734A"/>
    <w:rsid w:val="004E7A65"/>
    <w:rsid w:val="004F0779"/>
    <w:rsid w:val="004F0C59"/>
    <w:rsid w:val="004F0D1F"/>
    <w:rsid w:val="004F0F09"/>
    <w:rsid w:val="004F3FD2"/>
    <w:rsid w:val="00501B5C"/>
    <w:rsid w:val="00504193"/>
    <w:rsid w:val="0050433E"/>
    <w:rsid w:val="00506AD5"/>
    <w:rsid w:val="005131E3"/>
    <w:rsid w:val="00514C16"/>
    <w:rsid w:val="00520C61"/>
    <w:rsid w:val="0052427E"/>
    <w:rsid w:val="005273B1"/>
    <w:rsid w:val="00530501"/>
    <w:rsid w:val="005321E2"/>
    <w:rsid w:val="00532266"/>
    <w:rsid w:val="00534E63"/>
    <w:rsid w:val="0054027C"/>
    <w:rsid w:val="00542F46"/>
    <w:rsid w:val="0054520B"/>
    <w:rsid w:val="00545897"/>
    <w:rsid w:val="00546A4A"/>
    <w:rsid w:val="00550D2A"/>
    <w:rsid w:val="00551597"/>
    <w:rsid w:val="00552329"/>
    <w:rsid w:val="00553BBA"/>
    <w:rsid w:val="00553C1E"/>
    <w:rsid w:val="0055424A"/>
    <w:rsid w:val="00554593"/>
    <w:rsid w:val="00555391"/>
    <w:rsid w:val="00556706"/>
    <w:rsid w:val="00561CC5"/>
    <w:rsid w:val="00563C0C"/>
    <w:rsid w:val="0057157E"/>
    <w:rsid w:val="005739CA"/>
    <w:rsid w:val="0057637F"/>
    <w:rsid w:val="00577EA9"/>
    <w:rsid w:val="00580E22"/>
    <w:rsid w:val="00582755"/>
    <w:rsid w:val="005829DB"/>
    <w:rsid w:val="00583CD1"/>
    <w:rsid w:val="00587FAE"/>
    <w:rsid w:val="00594A19"/>
    <w:rsid w:val="0059588A"/>
    <w:rsid w:val="00596F71"/>
    <w:rsid w:val="00597471"/>
    <w:rsid w:val="005A27EC"/>
    <w:rsid w:val="005A2DF8"/>
    <w:rsid w:val="005A3896"/>
    <w:rsid w:val="005A3EAD"/>
    <w:rsid w:val="005A730C"/>
    <w:rsid w:val="005B32D5"/>
    <w:rsid w:val="005B7ACC"/>
    <w:rsid w:val="005B7EC6"/>
    <w:rsid w:val="005C01F4"/>
    <w:rsid w:val="005C09AB"/>
    <w:rsid w:val="005C3AA9"/>
    <w:rsid w:val="005C4AAF"/>
    <w:rsid w:val="005C7AAC"/>
    <w:rsid w:val="005D01F2"/>
    <w:rsid w:val="005D1C97"/>
    <w:rsid w:val="005D2DC1"/>
    <w:rsid w:val="005D3242"/>
    <w:rsid w:val="005D3BB7"/>
    <w:rsid w:val="005D6C98"/>
    <w:rsid w:val="005D6CB7"/>
    <w:rsid w:val="005E3176"/>
    <w:rsid w:val="005E3A14"/>
    <w:rsid w:val="005E4543"/>
    <w:rsid w:val="005E5A1A"/>
    <w:rsid w:val="005F407E"/>
    <w:rsid w:val="005F5E02"/>
    <w:rsid w:val="006023E9"/>
    <w:rsid w:val="006026AB"/>
    <w:rsid w:val="006026DB"/>
    <w:rsid w:val="00604924"/>
    <w:rsid w:val="0060629D"/>
    <w:rsid w:val="00610CF9"/>
    <w:rsid w:val="0061164C"/>
    <w:rsid w:val="00611AF3"/>
    <w:rsid w:val="006130EB"/>
    <w:rsid w:val="00614C9A"/>
    <w:rsid w:val="00617A8E"/>
    <w:rsid w:val="00621FC5"/>
    <w:rsid w:val="006307B1"/>
    <w:rsid w:val="006312C1"/>
    <w:rsid w:val="00637B02"/>
    <w:rsid w:val="006420D2"/>
    <w:rsid w:val="00645411"/>
    <w:rsid w:val="00647259"/>
    <w:rsid w:val="00647790"/>
    <w:rsid w:val="006505A5"/>
    <w:rsid w:val="00652926"/>
    <w:rsid w:val="006529EB"/>
    <w:rsid w:val="00654355"/>
    <w:rsid w:val="006578A4"/>
    <w:rsid w:val="0066240D"/>
    <w:rsid w:val="00662CB3"/>
    <w:rsid w:val="00662DEE"/>
    <w:rsid w:val="00664957"/>
    <w:rsid w:val="00667744"/>
    <w:rsid w:val="006777FA"/>
    <w:rsid w:val="00681387"/>
    <w:rsid w:val="00681D1F"/>
    <w:rsid w:val="00684738"/>
    <w:rsid w:val="006860A6"/>
    <w:rsid w:val="0068626A"/>
    <w:rsid w:val="00687B20"/>
    <w:rsid w:val="00690B2E"/>
    <w:rsid w:val="00691369"/>
    <w:rsid w:val="0069171E"/>
    <w:rsid w:val="00692386"/>
    <w:rsid w:val="006928A9"/>
    <w:rsid w:val="00694F87"/>
    <w:rsid w:val="00696959"/>
    <w:rsid w:val="00696F92"/>
    <w:rsid w:val="00697882"/>
    <w:rsid w:val="006A4CE7"/>
    <w:rsid w:val="006A4DB0"/>
    <w:rsid w:val="006A563A"/>
    <w:rsid w:val="006A721B"/>
    <w:rsid w:val="006A7AB8"/>
    <w:rsid w:val="006B05D2"/>
    <w:rsid w:val="006B0875"/>
    <w:rsid w:val="006B343B"/>
    <w:rsid w:val="006B67DE"/>
    <w:rsid w:val="006B68F1"/>
    <w:rsid w:val="006C068A"/>
    <w:rsid w:val="006C292D"/>
    <w:rsid w:val="006C3A7D"/>
    <w:rsid w:val="006C3D6A"/>
    <w:rsid w:val="006C42D2"/>
    <w:rsid w:val="006C4E4F"/>
    <w:rsid w:val="006C4E9F"/>
    <w:rsid w:val="006C7B66"/>
    <w:rsid w:val="006D3376"/>
    <w:rsid w:val="006D4153"/>
    <w:rsid w:val="006E0B21"/>
    <w:rsid w:val="006E7A64"/>
    <w:rsid w:val="006E7FE7"/>
    <w:rsid w:val="006F39AF"/>
    <w:rsid w:val="006F66FB"/>
    <w:rsid w:val="006F7B01"/>
    <w:rsid w:val="0070592E"/>
    <w:rsid w:val="007066FB"/>
    <w:rsid w:val="007070B5"/>
    <w:rsid w:val="007078C3"/>
    <w:rsid w:val="00707FDD"/>
    <w:rsid w:val="00710CB6"/>
    <w:rsid w:val="00713DCA"/>
    <w:rsid w:val="00715119"/>
    <w:rsid w:val="00716F1B"/>
    <w:rsid w:val="00717FBA"/>
    <w:rsid w:val="007214D7"/>
    <w:rsid w:val="007246AB"/>
    <w:rsid w:val="00726F09"/>
    <w:rsid w:val="00730D14"/>
    <w:rsid w:val="00731751"/>
    <w:rsid w:val="007320F9"/>
    <w:rsid w:val="00733448"/>
    <w:rsid w:val="00733607"/>
    <w:rsid w:val="007337A5"/>
    <w:rsid w:val="007344D1"/>
    <w:rsid w:val="007348DF"/>
    <w:rsid w:val="00734DD0"/>
    <w:rsid w:val="00736087"/>
    <w:rsid w:val="00737348"/>
    <w:rsid w:val="00740F4B"/>
    <w:rsid w:val="00741956"/>
    <w:rsid w:val="007507EA"/>
    <w:rsid w:val="007606EA"/>
    <w:rsid w:val="00760AC9"/>
    <w:rsid w:val="007615B7"/>
    <w:rsid w:val="00761915"/>
    <w:rsid w:val="00762540"/>
    <w:rsid w:val="007649F0"/>
    <w:rsid w:val="00765C86"/>
    <w:rsid w:val="007673DA"/>
    <w:rsid w:val="007738D2"/>
    <w:rsid w:val="007743FD"/>
    <w:rsid w:val="00776156"/>
    <w:rsid w:val="00780545"/>
    <w:rsid w:val="00784273"/>
    <w:rsid w:val="00785261"/>
    <w:rsid w:val="0078547E"/>
    <w:rsid w:val="00792394"/>
    <w:rsid w:val="00792D5A"/>
    <w:rsid w:val="007957EF"/>
    <w:rsid w:val="00797847"/>
    <w:rsid w:val="007A1A38"/>
    <w:rsid w:val="007A3778"/>
    <w:rsid w:val="007A3B2A"/>
    <w:rsid w:val="007B0256"/>
    <w:rsid w:val="007B5811"/>
    <w:rsid w:val="007C4D89"/>
    <w:rsid w:val="007C52B1"/>
    <w:rsid w:val="007C640B"/>
    <w:rsid w:val="007C6855"/>
    <w:rsid w:val="007D3E2D"/>
    <w:rsid w:val="007E183F"/>
    <w:rsid w:val="007E3E11"/>
    <w:rsid w:val="007E7569"/>
    <w:rsid w:val="007F1842"/>
    <w:rsid w:val="007F34A9"/>
    <w:rsid w:val="007F58AB"/>
    <w:rsid w:val="007F6119"/>
    <w:rsid w:val="007F65AC"/>
    <w:rsid w:val="00803AF7"/>
    <w:rsid w:val="00805B4E"/>
    <w:rsid w:val="00806282"/>
    <w:rsid w:val="008109F4"/>
    <w:rsid w:val="00810ABC"/>
    <w:rsid w:val="00811B8B"/>
    <w:rsid w:val="00811FD6"/>
    <w:rsid w:val="008120B7"/>
    <w:rsid w:val="00815A92"/>
    <w:rsid w:val="00817889"/>
    <w:rsid w:val="00817D74"/>
    <w:rsid w:val="008215B4"/>
    <w:rsid w:val="00821DBD"/>
    <w:rsid w:val="00824037"/>
    <w:rsid w:val="00824A7D"/>
    <w:rsid w:val="00825180"/>
    <w:rsid w:val="00826040"/>
    <w:rsid w:val="008269E7"/>
    <w:rsid w:val="0083177B"/>
    <w:rsid w:val="00834774"/>
    <w:rsid w:val="00835459"/>
    <w:rsid w:val="0083793E"/>
    <w:rsid w:val="00837C1C"/>
    <w:rsid w:val="008423AE"/>
    <w:rsid w:val="0084482C"/>
    <w:rsid w:val="0084521D"/>
    <w:rsid w:val="00852B2B"/>
    <w:rsid w:val="00852D3D"/>
    <w:rsid w:val="0085674C"/>
    <w:rsid w:val="008576C9"/>
    <w:rsid w:val="008602C0"/>
    <w:rsid w:val="00860563"/>
    <w:rsid w:val="008613CF"/>
    <w:rsid w:val="00863A48"/>
    <w:rsid w:val="00865420"/>
    <w:rsid w:val="0086602A"/>
    <w:rsid w:val="00866ED9"/>
    <w:rsid w:val="00870A97"/>
    <w:rsid w:val="00871443"/>
    <w:rsid w:val="00872677"/>
    <w:rsid w:val="0087428C"/>
    <w:rsid w:val="008776B1"/>
    <w:rsid w:val="00880570"/>
    <w:rsid w:val="008828A3"/>
    <w:rsid w:val="00886C5B"/>
    <w:rsid w:val="00887799"/>
    <w:rsid w:val="00892E24"/>
    <w:rsid w:val="0089317D"/>
    <w:rsid w:val="00895151"/>
    <w:rsid w:val="008951B9"/>
    <w:rsid w:val="00895CB4"/>
    <w:rsid w:val="008A42CD"/>
    <w:rsid w:val="008A55E4"/>
    <w:rsid w:val="008B0514"/>
    <w:rsid w:val="008B3576"/>
    <w:rsid w:val="008B4398"/>
    <w:rsid w:val="008B4EE8"/>
    <w:rsid w:val="008B511C"/>
    <w:rsid w:val="008B53B8"/>
    <w:rsid w:val="008C1C62"/>
    <w:rsid w:val="008C26B5"/>
    <w:rsid w:val="008C3101"/>
    <w:rsid w:val="008C3425"/>
    <w:rsid w:val="008C6A3A"/>
    <w:rsid w:val="008C6A9B"/>
    <w:rsid w:val="008C7306"/>
    <w:rsid w:val="008C79CF"/>
    <w:rsid w:val="008D151B"/>
    <w:rsid w:val="008D19E2"/>
    <w:rsid w:val="008D24E0"/>
    <w:rsid w:val="008D6517"/>
    <w:rsid w:val="008D750B"/>
    <w:rsid w:val="008E0D03"/>
    <w:rsid w:val="008E4D38"/>
    <w:rsid w:val="008F1C28"/>
    <w:rsid w:val="008F20E6"/>
    <w:rsid w:val="008F5458"/>
    <w:rsid w:val="008F63D4"/>
    <w:rsid w:val="009024B2"/>
    <w:rsid w:val="009028B2"/>
    <w:rsid w:val="0090518F"/>
    <w:rsid w:val="00910855"/>
    <w:rsid w:val="00910E1F"/>
    <w:rsid w:val="00912874"/>
    <w:rsid w:val="00915727"/>
    <w:rsid w:val="009161C7"/>
    <w:rsid w:val="009165CE"/>
    <w:rsid w:val="00921E48"/>
    <w:rsid w:val="009225F0"/>
    <w:rsid w:val="00924426"/>
    <w:rsid w:val="009245D5"/>
    <w:rsid w:val="00925DBD"/>
    <w:rsid w:val="00927DDE"/>
    <w:rsid w:val="00932901"/>
    <w:rsid w:val="0093462C"/>
    <w:rsid w:val="00934BE2"/>
    <w:rsid w:val="009362C8"/>
    <w:rsid w:val="00940A42"/>
    <w:rsid w:val="0094263F"/>
    <w:rsid w:val="00943282"/>
    <w:rsid w:val="00944A5B"/>
    <w:rsid w:val="009457E0"/>
    <w:rsid w:val="0094590A"/>
    <w:rsid w:val="00946EFF"/>
    <w:rsid w:val="00950C8E"/>
    <w:rsid w:val="00953795"/>
    <w:rsid w:val="00953848"/>
    <w:rsid w:val="0095395E"/>
    <w:rsid w:val="00955BF2"/>
    <w:rsid w:val="00962161"/>
    <w:rsid w:val="00962EFE"/>
    <w:rsid w:val="009644CD"/>
    <w:rsid w:val="00964F14"/>
    <w:rsid w:val="00966D34"/>
    <w:rsid w:val="00974189"/>
    <w:rsid w:val="0097713F"/>
    <w:rsid w:val="00984488"/>
    <w:rsid w:val="00984A47"/>
    <w:rsid w:val="009857BF"/>
    <w:rsid w:val="00987DC1"/>
    <w:rsid w:val="00995F95"/>
    <w:rsid w:val="00997A54"/>
    <w:rsid w:val="009A0747"/>
    <w:rsid w:val="009A1BB1"/>
    <w:rsid w:val="009A1CCB"/>
    <w:rsid w:val="009A3A52"/>
    <w:rsid w:val="009A3EAC"/>
    <w:rsid w:val="009A5E89"/>
    <w:rsid w:val="009A62A3"/>
    <w:rsid w:val="009A6CE5"/>
    <w:rsid w:val="009B365A"/>
    <w:rsid w:val="009B3FA1"/>
    <w:rsid w:val="009B5174"/>
    <w:rsid w:val="009C0102"/>
    <w:rsid w:val="009C0A55"/>
    <w:rsid w:val="009C0DC9"/>
    <w:rsid w:val="009D0062"/>
    <w:rsid w:val="009D03BC"/>
    <w:rsid w:val="009D114C"/>
    <w:rsid w:val="009D1D39"/>
    <w:rsid w:val="009D485C"/>
    <w:rsid w:val="009E14CE"/>
    <w:rsid w:val="009E3F61"/>
    <w:rsid w:val="009E4A11"/>
    <w:rsid w:val="009E6F04"/>
    <w:rsid w:val="009E7760"/>
    <w:rsid w:val="009F04E5"/>
    <w:rsid w:val="009F3251"/>
    <w:rsid w:val="009F5AF8"/>
    <w:rsid w:val="00A0265B"/>
    <w:rsid w:val="00A05F5F"/>
    <w:rsid w:val="00A1192C"/>
    <w:rsid w:val="00A1294E"/>
    <w:rsid w:val="00A12A71"/>
    <w:rsid w:val="00A13AE3"/>
    <w:rsid w:val="00A14017"/>
    <w:rsid w:val="00A16519"/>
    <w:rsid w:val="00A205E4"/>
    <w:rsid w:val="00A21CFF"/>
    <w:rsid w:val="00A21D92"/>
    <w:rsid w:val="00A2234B"/>
    <w:rsid w:val="00A26557"/>
    <w:rsid w:val="00A41919"/>
    <w:rsid w:val="00A4235A"/>
    <w:rsid w:val="00A45784"/>
    <w:rsid w:val="00A47EB4"/>
    <w:rsid w:val="00A53ECD"/>
    <w:rsid w:val="00A56068"/>
    <w:rsid w:val="00A642E7"/>
    <w:rsid w:val="00A64CFD"/>
    <w:rsid w:val="00A6678A"/>
    <w:rsid w:val="00A66DC7"/>
    <w:rsid w:val="00A6710A"/>
    <w:rsid w:val="00A72FB6"/>
    <w:rsid w:val="00A733C8"/>
    <w:rsid w:val="00A761BE"/>
    <w:rsid w:val="00A76CC8"/>
    <w:rsid w:val="00A82EF4"/>
    <w:rsid w:val="00A84B9E"/>
    <w:rsid w:val="00A87249"/>
    <w:rsid w:val="00A87D30"/>
    <w:rsid w:val="00A90C0B"/>
    <w:rsid w:val="00A93FB6"/>
    <w:rsid w:val="00A96746"/>
    <w:rsid w:val="00A97B40"/>
    <w:rsid w:val="00AA1032"/>
    <w:rsid w:val="00AA2B16"/>
    <w:rsid w:val="00AA32D4"/>
    <w:rsid w:val="00AA3B13"/>
    <w:rsid w:val="00AA5C5D"/>
    <w:rsid w:val="00AA5DDC"/>
    <w:rsid w:val="00AA701A"/>
    <w:rsid w:val="00AA708C"/>
    <w:rsid w:val="00AA794C"/>
    <w:rsid w:val="00AB0236"/>
    <w:rsid w:val="00AB7358"/>
    <w:rsid w:val="00AC0EBE"/>
    <w:rsid w:val="00AC5C93"/>
    <w:rsid w:val="00AC7714"/>
    <w:rsid w:val="00AC7C29"/>
    <w:rsid w:val="00AD0FB5"/>
    <w:rsid w:val="00AD5A2E"/>
    <w:rsid w:val="00AD7924"/>
    <w:rsid w:val="00AD7934"/>
    <w:rsid w:val="00AE73D5"/>
    <w:rsid w:val="00AF0958"/>
    <w:rsid w:val="00AF14E1"/>
    <w:rsid w:val="00AF34F5"/>
    <w:rsid w:val="00AF4AC9"/>
    <w:rsid w:val="00AF4AFA"/>
    <w:rsid w:val="00AF56D0"/>
    <w:rsid w:val="00AF613E"/>
    <w:rsid w:val="00AF68EA"/>
    <w:rsid w:val="00AF7E2B"/>
    <w:rsid w:val="00B00BB1"/>
    <w:rsid w:val="00B022F0"/>
    <w:rsid w:val="00B03488"/>
    <w:rsid w:val="00B04F88"/>
    <w:rsid w:val="00B066A6"/>
    <w:rsid w:val="00B07662"/>
    <w:rsid w:val="00B10B9E"/>
    <w:rsid w:val="00B11CA6"/>
    <w:rsid w:val="00B13CB8"/>
    <w:rsid w:val="00B16D8B"/>
    <w:rsid w:val="00B25C7E"/>
    <w:rsid w:val="00B261E7"/>
    <w:rsid w:val="00B334AA"/>
    <w:rsid w:val="00B348AF"/>
    <w:rsid w:val="00B35C95"/>
    <w:rsid w:val="00B3633B"/>
    <w:rsid w:val="00B36661"/>
    <w:rsid w:val="00B4676C"/>
    <w:rsid w:val="00B476FB"/>
    <w:rsid w:val="00B50008"/>
    <w:rsid w:val="00B531C0"/>
    <w:rsid w:val="00B53274"/>
    <w:rsid w:val="00B55FDA"/>
    <w:rsid w:val="00B5796C"/>
    <w:rsid w:val="00B6147C"/>
    <w:rsid w:val="00B64CEA"/>
    <w:rsid w:val="00B6796B"/>
    <w:rsid w:val="00B679E2"/>
    <w:rsid w:val="00B71283"/>
    <w:rsid w:val="00B72FB0"/>
    <w:rsid w:val="00B730C7"/>
    <w:rsid w:val="00B73AE9"/>
    <w:rsid w:val="00B76492"/>
    <w:rsid w:val="00B82A14"/>
    <w:rsid w:val="00B84BA9"/>
    <w:rsid w:val="00B84DF7"/>
    <w:rsid w:val="00B84EC0"/>
    <w:rsid w:val="00B8509B"/>
    <w:rsid w:val="00B860BD"/>
    <w:rsid w:val="00B86CB1"/>
    <w:rsid w:val="00B91E3E"/>
    <w:rsid w:val="00B921B0"/>
    <w:rsid w:val="00B956F2"/>
    <w:rsid w:val="00BA15AC"/>
    <w:rsid w:val="00BA2DB9"/>
    <w:rsid w:val="00BA307E"/>
    <w:rsid w:val="00BA46C4"/>
    <w:rsid w:val="00BA6856"/>
    <w:rsid w:val="00BA7106"/>
    <w:rsid w:val="00BB1201"/>
    <w:rsid w:val="00BB22DF"/>
    <w:rsid w:val="00BB2B3B"/>
    <w:rsid w:val="00BB3362"/>
    <w:rsid w:val="00BB47AF"/>
    <w:rsid w:val="00BB5D6E"/>
    <w:rsid w:val="00BC08A6"/>
    <w:rsid w:val="00BC320C"/>
    <w:rsid w:val="00BC5E46"/>
    <w:rsid w:val="00BD049B"/>
    <w:rsid w:val="00BD700F"/>
    <w:rsid w:val="00BD7B5D"/>
    <w:rsid w:val="00BE048D"/>
    <w:rsid w:val="00BE485B"/>
    <w:rsid w:val="00BE7148"/>
    <w:rsid w:val="00BE777F"/>
    <w:rsid w:val="00BF0FBB"/>
    <w:rsid w:val="00BF3619"/>
    <w:rsid w:val="00BF4E12"/>
    <w:rsid w:val="00BF5740"/>
    <w:rsid w:val="00C00532"/>
    <w:rsid w:val="00C01117"/>
    <w:rsid w:val="00C10E37"/>
    <w:rsid w:val="00C1339E"/>
    <w:rsid w:val="00C15272"/>
    <w:rsid w:val="00C15AC6"/>
    <w:rsid w:val="00C16568"/>
    <w:rsid w:val="00C16BAA"/>
    <w:rsid w:val="00C20186"/>
    <w:rsid w:val="00C242E2"/>
    <w:rsid w:val="00C24EB8"/>
    <w:rsid w:val="00C2575C"/>
    <w:rsid w:val="00C30CD0"/>
    <w:rsid w:val="00C30E36"/>
    <w:rsid w:val="00C32E18"/>
    <w:rsid w:val="00C37C12"/>
    <w:rsid w:val="00C4377F"/>
    <w:rsid w:val="00C47288"/>
    <w:rsid w:val="00C50109"/>
    <w:rsid w:val="00C53622"/>
    <w:rsid w:val="00C55178"/>
    <w:rsid w:val="00C60AE1"/>
    <w:rsid w:val="00C615BB"/>
    <w:rsid w:val="00C6276F"/>
    <w:rsid w:val="00C63776"/>
    <w:rsid w:val="00C63A41"/>
    <w:rsid w:val="00C645F4"/>
    <w:rsid w:val="00C66773"/>
    <w:rsid w:val="00C715B0"/>
    <w:rsid w:val="00C7290C"/>
    <w:rsid w:val="00C72F5F"/>
    <w:rsid w:val="00C7354F"/>
    <w:rsid w:val="00C7360D"/>
    <w:rsid w:val="00C758FE"/>
    <w:rsid w:val="00C7709C"/>
    <w:rsid w:val="00C80CFD"/>
    <w:rsid w:val="00C84DD7"/>
    <w:rsid w:val="00C862C7"/>
    <w:rsid w:val="00C866DB"/>
    <w:rsid w:val="00C86C87"/>
    <w:rsid w:val="00C86DB8"/>
    <w:rsid w:val="00C87D2E"/>
    <w:rsid w:val="00C9487A"/>
    <w:rsid w:val="00CA3825"/>
    <w:rsid w:val="00CA69B6"/>
    <w:rsid w:val="00CB2AB0"/>
    <w:rsid w:val="00CB300D"/>
    <w:rsid w:val="00CB42D1"/>
    <w:rsid w:val="00CB5863"/>
    <w:rsid w:val="00CB5D9E"/>
    <w:rsid w:val="00CC00DB"/>
    <w:rsid w:val="00CC204A"/>
    <w:rsid w:val="00CC34BD"/>
    <w:rsid w:val="00CD086F"/>
    <w:rsid w:val="00CD290C"/>
    <w:rsid w:val="00CD2D65"/>
    <w:rsid w:val="00CD45CB"/>
    <w:rsid w:val="00CD775E"/>
    <w:rsid w:val="00CE46CF"/>
    <w:rsid w:val="00CE5CF4"/>
    <w:rsid w:val="00CE5DE2"/>
    <w:rsid w:val="00CF0081"/>
    <w:rsid w:val="00CF1FA8"/>
    <w:rsid w:val="00CF6B84"/>
    <w:rsid w:val="00CF7624"/>
    <w:rsid w:val="00D0384A"/>
    <w:rsid w:val="00D04A64"/>
    <w:rsid w:val="00D053F7"/>
    <w:rsid w:val="00D06CC3"/>
    <w:rsid w:val="00D07789"/>
    <w:rsid w:val="00D13226"/>
    <w:rsid w:val="00D15713"/>
    <w:rsid w:val="00D168A0"/>
    <w:rsid w:val="00D16EA1"/>
    <w:rsid w:val="00D21DFD"/>
    <w:rsid w:val="00D22D2A"/>
    <w:rsid w:val="00D23D1F"/>
    <w:rsid w:val="00D258F7"/>
    <w:rsid w:val="00D278AC"/>
    <w:rsid w:val="00D31A74"/>
    <w:rsid w:val="00D33D71"/>
    <w:rsid w:val="00D373A4"/>
    <w:rsid w:val="00D400DD"/>
    <w:rsid w:val="00D42BD2"/>
    <w:rsid w:val="00D4595E"/>
    <w:rsid w:val="00D46247"/>
    <w:rsid w:val="00D47270"/>
    <w:rsid w:val="00D47E7A"/>
    <w:rsid w:val="00D54004"/>
    <w:rsid w:val="00D56175"/>
    <w:rsid w:val="00D572E9"/>
    <w:rsid w:val="00D618E9"/>
    <w:rsid w:val="00D62DC3"/>
    <w:rsid w:val="00D66190"/>
    <w:rsid w:val="00D73875"/>
    <w:rsid w:val="00D738EE"/>
    <w:rsid w:val="00D76FE7"/>
    <w:rsid w:val="00D80344"/>
    <w:rsid w:val="00D804FC"/>
    <w:rsid w:val="00D82215"/>
    <w:rsid w:val="00D835CA"/>
    <w:rsid w:val="00D8415D"/>
    <w:rsid w:val="00D84E18"/>
    <w:rsid w:val="00D859B7"/>
    <w:rsid w:val="00D90BEA"/>
    <w:rsid w:val="00D9734C"/>
    <w:rsid w:val="00DA037E"/>
    <w:rsid w:val="00DA09BE"/>
    <w:rsid w:val="00DA21DE"/>
    <w:rsid w:val="00DA243A"/>
    <w:rsid w:val="00DA5248"/>
    <w:rsid w:val="00DB0B38"/>
    <w:rsid w:val="00DB1A55"/>
    <w:rsid w:val="00DB1DD9"/>
    <w:rsid w:val="00DB3BBF"/>
    <w:rsid w:val="00DB4BD9"/>
    <w:rsid w:val="00DB4C73"/>
    <w:rsid w:val="00DB54D2"/>
    <w:rsid w:val="00DB57A5"/>
    <w:rsid w:val="00DC0166"/>
    <w:rsid w:val="00DC0D04"/>
    <w:rsid w:val="00DC1F0D"/>
    <w:rsid w:val="00DC6DAE"/>
    <w:rsid w:val="00DC758F"/>
    <w:rsid w:val="00DD000B"/>
    <w:rsid w:val="00DD04F6"/>
    <w:rsid w:val="00DD08B8"/>
    <w:rsid w:val="00DD17CE"/>
    <w:rsid w:val="00DD2BCA"/>
    <w:rsid w:val="00DD610C"/>
    <w:rsid w:val="00DD6B1A"/>
    <w:rsid w:val="00DE244E"/>
    <w:rsid w:val="00DE3DD4"/>
    <w:rsid w:val="00DF1E10"/>
    <w:rsid w:val="00DF6408"/>
    <w:rsid w:val="00E0205B"/>
    <w:rsid w:val="00E03FE9"/>
    <w:rsid w:val="00E04CBD"/>
    <w:rsid w:val="00E15141"/>
    <w:rsid w:val="00E1727C"/>
    <w:rsid w:val="00E176ED"/>
    <w:rsid w:val="00E2061A"/>
    <w:rsid w:val="00E2151E"/>
    <w:rsid w:val="00E24B78"/>
    <w:rsid w:val="00E251F5"/>
    <w:rsid w:val="00E273E4"/>
    <w:rsid w:val="00E33613"/>
    <w:rsid w:val="00E33697"/>
    <w:rsid w:val="00E3481E"/>
    <w:rsid w:val="00E35162"/>
    <w:rsid w:val="00E3657C"/>
    <w:rsid w:val="00E375B7"/>
    <w:rsid w:val="00E37C63"/>
    <w:rsid w:val="00E43931"/>
    <w:rsid w:val="00E43B14"/>
    <w:rsid w:val="00E443D8"/>
    <w:rsid w:val="00E44EBC"/>
    <w:rsid w:val="00E507FC"/>
    <w:rsid w:val="00E50A31"/>
    <w:rsid w:val="00E515D9"/>
    <w:rsid w:val="00E51802"/>
    <w:rsid w:val="00E5469D"/>
    <w:rsid w:val="00E55A6A"/>
    <w:rsid w:val="00E62BE8"/>
    <w:rsid w:val="00E63316"/>
    <w:rsid w:val="00E668ED"/>
    <w:rsid w:val="00E66F2F"/>
    <w:rsid w:val="00E7402E"/>
    <w:rsid w:val="00E74E0C"/>
    <w:rsid w:val="00E80F61"/>
    <w:rsid w:val="00E822BA"/>
    <w:rsid w:val="00E84957"/>
    <w:rsid w:val="00E86057"/>
    <w:rsid w:val="00E86F9B"/>
    <w:rsid w:val="00E92C5E"/>
    <w:rsid w:val="00E96689"/>
    <w:rsid w:val="00E97B0F"/>
    <w:rsid w:val="00EA30DB"/>
    <w:rsid w:val="00EA5896"/>
    <w:rsid w:val="00EA7FD8"/>
    <w:rsid w:val="00EB199A"/>
    <w:rsid w:val="00EB2D36"/>
    <w:rsid w:val="00EB40C6"/>
    <w:rsid w:val="00EB68D5"/>
    <w:rsid w:val="00EB6E47"/>
    <w:rsid w:val="00EC0582"/>
    <w:rsid w:val="00EC0FBB"/>
    <w:rsid w:val="00EC2045"/>
    <w:rsid w:val="00EC5ED7"/>
    <w:rsid w:val="00EC7D1E"/>
    <w:rsid w:val="00ED0AB5"/>
    <w:rsid w:val="00ED0CD9"/>
    <w:rsid w:val="00ED1903"/>
    <w:rsid w:val="00ED220D"/>
    <w:rsid w:val="00ED2672"/>
    <w:rsid w:val="00ED3D05"/>
    <w:rsid w:val="00ED41F5"/>
    <w:rsid w:val="00ED51F5"/>
    <w:rsid w:val="00ED6975"/>
    <w:rsid w:val="00ED6F03"/>
    <w:rsid w:val="00EE1318"/>
    <w:rsid w:val="00EE18D0"/>
    <w:rsid w:val="00EE4CEA"/>
    <w:rsid w:val="00EF03F9"/>
    <w:rsid w:val="00EF0BFE"/>
    <w:rsid w:val="00EF5C8B"/>
    <w:rsid w:val="00F04626"/>
    <w:rsid w:val="00F1152B"/>
    <w:rsid w:val="00F12CEC"/>
    <w:rsid w:val="00F139AC"/>
    <w:rsid w:val="00F14F7F"/>
    <w:rsid w:val="00F158F9"/>
    <w:rsid w:val="00F16391"/>
    <w:rsid w:val="00F16BF8"/>
    <w:rsid w:val="00F2465C"/>
    <w:rsid w:val="00F26FAD"/>
    <w:rsid w:val="00F3026E"/>
    <w:rsid w:val="00F303CF"/>
    <w:rsid w:val="00F31004"/>
    <w:rsid w:val="00F32B0E"/>
    <w:rsid w:val="00F33916"/>
    <w:rsid w:val="00F36969"/>
    <w:rsid w:val="00F40AAC"/>
    <w:rsid w:val="00F5186E"/>
    <w:rsid w:val="00F52B20"/>
    <w:rsid w:val="00F539E5"/>
    <w:rsid w:val="00F54F9F"/>
    <w:rsid w:val="00F6181F"/>
    <w:rsid w:val="00F633BA"/>
    <w:rsid w:val="00F6751C"/>
    <w:rsid w:val="00F72D4F"/>
    <w:rsid w:val="00F735F1"/>
    <w:rsid w:val="00F75A1A"/>
    <w:rsid w:val="00F772A3"/>
    <w:rsid w:val="00F8010D"/>
    <w:rsid w:val="00F80E36"/>
    <w:rsid w:val="00F812B6"/>
    <w:rsid w:val="00F84774"/>
    <w:rsid w:val="00F84A4A"/>
    <w:rsid w:val="00F8570F"/>
    <w:rsid w:val="00F9129A"/>
    <w:rsid w:val="00F92A9D"/>
    <w:rsid w:val="00F92B39"/>
    <w:rsid w:val="00F93C23"/>
    <w:rsid w:val="00F93FB3"/>
    <w:rsid w:val="00F96E38"/>
    <w:rsid w:val="00F97E81"/>
    <w:rsid w:val="00FA0264"/>
    <w:rsid w:val="00FA0603"/>
    <w:rsid w:val="00FA0ACD"/>
    <w:rsid w:val="00FA1433"/>
    <w:rsid w:val="00FA2B96"/>
    <w:rsid w:val="00FA69BB"/>
    <w:rsid w:val="00FA6FF3"/>
    <w:rsid w:val="00FB2B35"/>
    <w:rsid w:val="00FB5410"/>
    <w:rsid w:val="00FB6C18"/>
    <w:rsid w:val="00FC58FA"/>
    <w:rsid w:val="00FC6B2F"/>
    <w:rsid w:val="00FC6FBE"/>
    <w:rsid w:val="00FD08DE"/>
    <w:rsid w:val="00FD0FDC"/>
    <w:rsid w:val="00FD2D09"/>
    <w:rsid w:val="00FD64AB"/>
    <w:rsid w:val="00FE4D20"/>
    <w:rsid w:val="00FE6325"/>
    <w:rsid w:val="00FE6A21"/>
    <w:rsid w:val="00FE6A68"/>
    <w:rsid w:val="00FE7EBD"/>
    <w:rsid w:val="00FF15E0"/>
    <w:rsid w:val="00FF1636"/>
    <w:rsid w:val="00FF1C87"/>
    <w:rsid w:val="00FF2376"/>
    <w:rsid w:val="00FF2B1C"/>
    <w:rsid w:val="00FF2B69"/>
    <w:rsid w:val="00FF2BE9"/>
    <w:rsid w:val="00FF3B8B"/>
    <w:rsid w:val="00FF554A"/>
    <w:rsid w:val="00FF5599"/>
    <w:rsid w:val="00FF60C5"/>
    <w:rsid w:val="00FF7592"/>
    <w:rsid w:val="00FF7E4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C6262C"/>
  <w15:chartTrackingRefBased/>
  <w15:docId w15:val="{C77998B4-8568-4D91-A474-B34C8DE4F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54CA"/>
    <w:rPr>
      <w:rFonts w:ascii="Arial" w:hAnsi="Arial"/>
    </w:rPr>
  </w:style>
  <w:style w:type="paragraph" w:styleId="Heading1">
    <w:name w:val="heading 1"/>
    <w:basedOn w:val="Normal"/>
    <w:next w:val="Normal"/>
    <w:link w:val="Heading1Char"/>
    <w:uiPriority w:val="9"/>
    <w:qFormat/>
    <w:rsid w:val="004B54CA"/>
    <w:pPr>
      <w:spacing w:before="480" w:after="0"/>
      <w:contextualSpacing/>
      <w:outlineLvl w:val="0"/>
    </w:pPr>
    <w:rPr>
      <w:rFonts w:eastAsiaTheme="majorEastAsia" w:cstheme="majorBidi"/>
      <w:b/>
      <w:bCs/>
      <w:sz w:val="32"/>
      <w:szCs w:val="28"/>
    </w:rPr>
  </w:style>
  <w:style w:type="paragraph" w:styleId="Heading2">
    <w:name w:val="heading 2"/>
    <w:basedOn w:val="Normal"/>
    <w:next w:val="Normal"/>
    <w:link w:val="Heading2Char"/>
    <w:uiPriority w:val="9"/>
    <w:unhideWhenUsed/>
    <w:qFormat/>
    <w:rsid w:val="004B54CA"/>
    <w:pPr>
      <w:spacing w:before="200" w:after="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4B54CA"/>
    <w:pPr>
      <w:spacing w:before="200" w:after="0" w:line="271" w:lineRule="auto"/>
      <w:outlineLvl w:val="2"/>
    </w:pPr>
    <w:rPr>
      <w:rFonts w:eastAsiaTheme="majorEastAsia" w:cstheme="majorBidi"/>
      <w:b/>
      <w:bCs/>
    </w:rPr>
  </w:style>
  <w:style w:type="paragraph" w:styleId="Heading4">
    <w:name w:val="heading 4"/>
    <w:basedOn w:val="Normal"/>
    <w:next w:val="Normal"/>
    <w:link w:val="Heading4Char"/>
    <w:uiPriority w:val="9"/>
    <w:unhideWhenUsed/>
    <w:qFormat/>
    <w:rsid w:val="004B54CA"/>
    <w:pPr>
      <w:spacing w:before="200" w:after="0"/>
      <w:outlineLvl w:val="3"/>
    </w:pPr>
    <w:rPr>
      <w:rFonts w:eastAsiaTheme="majorEastAsia" w:cstheme="majorBidi"/>
      <w:b/>
      <w:bCs/>
      <w:i/>
      <w:iCs/>
    </w:rPr>
  </w:style>
  <w:style w:type="paragraph" w:styleId="Heading5">
    <w:name w:val="heading 5"/>
    <w:basedOn w:val="Normal"/>
    <w:next w:val="Normal"/>
    <w:link w:val="Heading5Char"/>
    <w:uiPriority w:val="9"/>
    <w:unhideWhenUsed/>
    <w:qFormat/>
    <w:rsid w:val="004B54CA"/>
    <w:pPr>
      <w:spacing w:before="200" w:after="0"/>
      <w:outlineLvl w:val="4"/>
    </w:pPr>
    <w:rPr>
      <w:rFonts w:eastAsiaTheme="majorEastAsia" w:cstheme="majorBidi"/>
      <w:b/>
      <w:bCs/>
      <w:color w:val="7F7F7F" w:themeColor="text1" w:themeTint="80"/>
    </w:rPr>
  </w:style>
  <w:style w:type="paragraph" w:styleId="Heading6">
    <w:name w:val="heading 6"/>
    <w:basedOn w:val="Normal"/>
    <w:next w:val="Normal"/>
    <w:link w:val="Heading6Char"/>
    <w:uiPriority w:val="9"/>
    <w:unhideWhenUsed/>
    <w:qFormat/>
    <w:rsid w:val="004B54CA"/>
    <w:pPr>
      <w:spacing w:after="0" w:line="271" w:lineRule="auto"/>
      <w:outlineLvl w:val="5"/>
    </w:pPr>
    <w:rPr>
      <w:rFonts w:eastAsiaTheme="majorEastAsia" w:cstheme="majorBidi"/>
      <w:b/>
      <w:bCs/>
      <w:i/>
      <w:iCs/>
      <w:color w:val="7F7F7F" w:themeColor="text1" w:themeTint="80"/>
    </w:rPr>
  </w:style>
  <w:style w:type="paragraph" w:styleId="Heading7">
    <w:name w:val="heading 7"/>
    <w:basedOn w:val="Normal"/>
    <w:next w:val="Normal"/>
    <w:link w:val="Heading7Char"/>
    <w:uiPriority w:val="9"/>
    <w:unhideWhenUsed/>
    <w:qFormat/>
    <w:rsid w:val="004B54CA"/>
    <w:pPr>
      <w:spacing w:after="0"/>
      <w:outlineLvl w:val="6"/>
    </w:pPr>
    <w:rPr>
      <w:rFonts w:eastAsiaTheme="majorEastAsia" w:cstheme="majorBidi"/>
      <w:i/>
      <w:iCs/>
    </w:rPr>
  </w:style>
  <w:style w:type="paragraph" w:styleId="Heading8">
    <w:name w:val="heading 8"/>
    <w:basedOn w:val="Normal"/>
    <w:next w:val="Normal"/>
    <w:link w:val="Heading8Char"/>
    <w:uiPriority w:val="9"/>
    <w:unhideWhenUsed/>
    <w:qFormat/>
    <w:rsid w:val="004B54CA"/>
    <w:pPr>
      <w:spacing w:after="0"/>
      <w:outlineLvl w:val="7"/>
    </w:pPr>
    <w:rPr>
      <w:rFonts w:eastAsiaTheme="majorEastAsia" w:cstheme="majorBidi"/>
      <w:sz w:val="20"/>
      <w:szCs w:val="20"/>
    </w:rPr>
  </w:style>
  <w:style w:type="paragraph" w:styleId="Heading9">
    <w:name w:val="heading 9"/>
    <w:basedOn w:val="Normal"/>
    <w:next w:val="Normal"/>
    <w:link w:val="Heading9Char"/>
    <w:uiPriority w:val="9"/>
    <w:unhideWhenUsed/>
    <w:qFormat/>
    <w:rsid w:val="004B54CA"/>
    <w:pPr>
      <w:spacing w:after="0"/>
      <w:outlineLvl w:val="8"/>
    </w:pPr>
    <w:rPr>
      <w:rFonts w:eastAsiaTheme="majorEastAsia"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54CA"/>
    <w:rPr>
      <w:rFonts w:ascii="Arial" w:eastAsiaTheme="majorEastAsia" w:hAnsi="Arial" w:cstheme="majorBidi"/>
      <w:b/>
      <w:bCs/>
      <w:sz w:val="32"/>
      <w:szCs w:val="28"/>
    </w:rPr>
  </w:style>
  <w:style w:type="character" w:customStyle="1" w:styleId="Heading2Char">
    <w:name w:val="Heading 2 Char"/>
    <w:basedOn w:val="DefaultParagraphFont"/>
    <w:link w:val="Heading2"/>
    <w:uiPriority w:val="9"/>
    <w:rsid w:val="004B54CA"/>
    <w:rPr>
      <w:rFonts w:ascii="Arial" w:eastAsiaTheme="majorEastAsia" w:hAnsi="Arial" w:cstheme="majorBidi"/>
      <w:b/>
      <w:bCs/>
      <w:sz w:val="26"/>
      <w:szCs w:val="26"/>
    </w:rPr>
  </w:style>
  <w:style w:type="paragraph" w:styleId="NoSpacing">
    <w:name w:val="No Spacing"/>
    <w:basedOn w:val="Normal"/>
    <w:link w:val="NoSpacingChar"/>
    <w:uiPriority w:val="1"/>
    <w:qFormat/>
    <w:rsid w:val="004B54CA"/>
    <w:pPr>
      <w:spacing w:after="0" w:line="240" w:lineRule="auto"/>
    </w:pPr>
  </w:style>
  <w:style w:type="character" w:customStyle="1" w:styleId="Heading3Char">
    <w:name w:val="Heading 3 Char"/>
    <w:basedOn w:val="DefaultParagraphFont"/>
    <w:link w:val="Heading3"/>
    <w:uiPriority w:val="9"/>
    <w:rsid w:val="004B54CA"/>
    <w:rPr>
      <w:rFonts w:ascii="Arial" w:eastAsiaTheme="majorEastAsia" w:hAnsi="Arial" w:cstheme="majorBidi"/>
      <w:b/>
      <w:bCs/>
    </w:rPr>
  </w:style>
  <w:style w:type="character" w:customStyle="1" w:styleId="Heading4Char">
    <w:name w:val="Heading 4 Char"/>
    <w:basedOn w:val="DefaultParagraphFont"/>
    <w:link w:val="Heading4"/>
    <w:uiPriority w:val="9"/>
    <w:rsid w:val="004B54CA"/>
    <w:rPr>
      <w:rFonts w:ascii="Arial" w:eastAsiaTheme="majorEastAsia" w:hAnsi="Arial" w:cstheme="majorBidi"/>
      <w:b/>
      <w:bCs/>
      <w:i/>
      <w:iCs/>
    </w:rPr>
  </w:style>
  <w:style w:type="character" w:customStyle="1" w:styleId="Heading5Char">
    <w:name w:val="Heading 5 Char"/>
    <w:basedOn w:val="DefaultParagraphFont"/>
    <w:link w:val="Heading5"/>
    <w:uiPriority w:val="9"/>
    <w:rsid w:val="004B54CA"/>
    <w:rPr>
      <w:rFonts w:ascii="Arial" w:eastAsiaTheme="majorEastAsia" w:hAnsi="Arial" w:cstheme="majorBidi"/>
      <w:b/>
      <w:bCs/>
      <w:color w:val="7F7F7F" w:themeColor="text1" w:themeTint="80"/>
    </w:rPr>
  </w:style>
  <w:style w:type="character" w:customStyle="1" w:styleId="Heading6Char">
    <w:name w:val="Heading 6 Char"/>
    <w:basedOn w:val="DefaultParagraphFont"/>
    <w:link w:val="Heading6"/>
    <w:uiPriority w:val="9"/>
    <w:rsid w:val="004B54CA"/>
    <w:rPr>
      <w:rFonts w:ascii="Arial" w:eastAsiaTheme="majorEastAsia" w:hAnsi="Arial" w:cstheme="majorBidi"/>
      <w:b/>
      <w:bCs/>
      <w:i/>
      <w:iCs/>
      <w:color w:val="7F7F7F" w:themeColor="text1" w:themeTint="80"/>
    </w:rPr>
  </w:style>
  <w:style w:type="character" w:customStyle="1" w:styleId="Heading7Char">
    <w:name w:val="Heading 7 Char"/>
    <w:basedOn w:val="DefaultParagraphFont"/>
    <w:link w:val="Heading7"/>
    <w:uiPriority w:val="9"/>
    <w:rsid w:val="004B54CA"/>
    <w:rPr>
      <w:rFonts w:ascii="Arial" w:eastAsiaTheme="majorEastAsia" w:hAnsi="Arial" w:cstheme="majorBidi"/>
      <w:i/>
      <w:iCs/>
    </w:rPr>
  </w:style>
  <w:style w:type="character" w:customStyle="1" w:styleId="Heading8Char">
    <w:name w:val="Heading 8 Char"/>
    <w:basedOn w:val="DefaultParagraphFont"/>
    <w:link w:val="Heading8"/>
    <w:uiPriority w:val="9"/>
    <w:rsid w:val="004B54CA"/>
    <w:rPr>
      <w:rFonts w:ascii="Arial" w:eastAsiaTheme="majorEastAsia" w:hAnsi="Arial" w:cstheme="majorBidi"/>
      <w:sz w:val="20"/>
      <w:szCs w:val="20"/>
    </w:rPr>
  </w:style>
  <w:style w:type="character" w:customStyle="1" w:styleId="Heading9Char">
    <w:name w:val="Heading 9 Char"/>
    <w:basedOn w:val="DefaultParagraphFont"/>
    <w:link w:val="Heading9"/>
    <w:uiPriority w:val="9"/>
    <w:rsid w:val="004B54CA"/>
    <w:rPr>
      <w:rFonts w:ascii="Arial" w:eastAsiaTheme="majorEastAsia" w:hAnsi="Arial" w:cstheme="majorBidi"/>
      <w:i/>
      <w:iCs/>
      <w:spacing w:val="5"/>
      <w:sz w:val="20"/>
      <w:szCs w:val="20"/>
    </w:rPr>
  </w:style>
  <w:style w:type="paragraph" w:styleId="Title">
    <w:name w:val="Title"/>
    <w:basedOn w:val="Normal"/>
    <w:next w:val="Normal"/>
    <w:link w:val="TitleChar"/>
    <w:uiPriority w:val="10"/>
    <w:qFormat/>
    <w:rsid w:val="004B54CA"/>
    <w:pPr>
      <w:pBdr>
        <w:bottom w:val="single" w:sz="4" w:space="1" w:color="auto"/>
      </w:pBdr>
      <w:spacing w:line="240" w:lineRule="auto"/>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4B54CA"/>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4B54CA"/>
    <w:pPr>
      <w:spacing w:after="600"/>
    </w:pPr>
    <w:rPr>
      <w:rFonts w:eastAsiaTheme="majorEastAsia" w:cstheme="majorBidi"/>
      <w:i/>
      <w:iCs/>
      <w:spacing w:val="13"/>
      <w:sz w:val="24"/>
      <w:szCs w:val="24"/>
    </w:rPr>
  </w:style>
  <w:style w:type="character" w:customStyle="1" w:styleId="SubtitleChar">
    <w:name w:val="Subtitle Char"/>
    <w:basedOn w:val="DefaultParagraphFont"/>
    <w:link w:val="Subtitle"/>
    <w:uiPriority w:val="11"/>
    <w:rsid w:val="004B54CA"/>
    <w:rPr>
      <w:rFonts w:ascii="Arial" w:eastAsiaTheme="majorEastAsia" w:hAnsi="Arial" w:cstheme="majorBidi"/>
      <w:i/>
      <w:iCs/>
      <w:spacing w:val="13"/>
      <w:sz w:val="24"/>
      <w:szCs w:val="24"/>
    </w:rPr>
  </w:style>
  <w:style w:type="character" w:styleId="SubtleEmphasis">
    <w:name w:val="Subtle Emphasis"/>
    <w:uiPriority w:val="19"/>
    <w:qFormat/>
    <w:rsid w:val="004B54CA"/>
    <w:rPr>
      <w:i/>
      <w:iCs/>
    </w:rPr>
  </w:style>
  <w:style w:type="character" w:styleId="Strong">
    <w:name w:val="Strong"/>
    <w:uiPriority w:val="22"/>
    <w:qFormat/>
    <w:rsid w:val="004B54CA"/>
    <w:rPr>
      <w:b/>
      <w:bCs/>
    </w:rPr>
  </w:style>
  <w:style w:type="paragraph" w:styleId="ListParagraph">
    <w:name w:val="List Paragraph"/>
    <w:basedOn w:val="Normal"/>
    <w:uiPriority w:val="34"/>
    <w:qFormat/>
    <w:rsid w:val="004B54CA"/>
    <w:pPr>
      <w:ind w:left="720"/>
      <w:contextualSpacing/>
    </w:pPr>
  </w:style>
  <w:style w:type="character" w:styleId="Emphasis">
    <w:name w:val="Emphasis"/>
    <w:uiPriority w:val="20"/>
    <w:qFormat/>
    <w:rsid w:val="004B54CA"/>
    <w:rPr>
      <w:b/>
      <w:bCs/>
      <w:i/>
      <w:iCs/>
      <w:spacing w:val="10"/>
      <w:bdr w:val="none" w:sz="0" w:space="0" w:color="auto"/>
      <w:shd w:val="clear" w:color="auto" w:fill="auto"/>
    </w:rPr>
  </w:style>
  <w:style w:type="character" w:styleId="IntenseEmphasis">
    <w:name w:val="Intense Emphasis"/>
    <w:uiPriority w:val="21"/>
    <w:qFormat/>
    <w:rsid w:val="004B54CA"/>
    <w:rPr>
      <w:b/>
      <w:bCs/>
    </w:rPr>
  </w:style>
  <w:style w:type="paragraph" w:styleId="Quote">
    <w:name w:val="Quote"/>
    <w:basedOn w:val="Normal"/>
    <w:next w:val="Normal"/>
    <w:link w:val="QuoteChar"/>
    <w:uiPriority w:val="29"/>
    <w:qFormat/>
    <w:rsid w:val="004B54CA"/>
    <w:pPr>
      <w:spacing w:before="200" w:after="0"/>
      <w:ind w:left="360" w:right="360"/>
    </w:pPr>
    <w:rPr>
      <w:i/>
      <w:iCs/>
    </w:rPr>
  </w:style>
  <w:style w:type="character" w:customStyle="1" w:styleId="QuoteChar">
    <w:name w:val="Quote Char"/>
    <w:basedOn w:val="DefaultParagraphFont"/>
    <w:link w:val="Quote"/>
    <w:uiPriority w:val="29"/>
    <w:rsid w:val="004B54CA"/>
    <w:rPr>
      <w:rFonts w:ascii="Arial" w:hAnsi="Arial"/>
      <w:i/>
      <w:iCs/>
    </w:rPr>
  </w:style>
  <w:style w:type="paragraph" w:styleId="IntenseQuote">
    <w:name w:val="Intense Quote"/>
    <w:basedOn w:val="Normal"/>
    <w:next w:val="Normal"/>
    <w:link w:val="IntenseQuoteChar"/>
    <w:uiPriority w:val="30"/>
    <w:qFormat/>
    <w:rsid w:val="004B54CA"/>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4B54CA"/>
    <w:rPr>
      <w:rFonts w:ascii="Arial" w:hAnsi="Arial"/>
      <w:b/>
      <w:bCs/>
      <w:i/>
      <w:iCs/>
    </w:rPr>
  </w:style>
  <w:style w:type="character" w:styleId="SubtleReference">
    <w:name w:val="Subtle Reference"/>
    <w:uiPriority w:val="31"/>
    <w:qFormat/>
    <w:rsid w:val="004B54CA"/>
    <w:rPr>
      <w:smallCaps/>
    </w:rPr>
  </w:style>
  <w:style w:type="character" w:styleId="IntenseReference">
    <w:name w:val="Intense Reference"/>
    <w:uiPriority w:val="32"/>
    <w:qFormat/>
    <w:rsid w:val="004B54CA"/>
    <w:rPr>
      <w:smallCaps/>
      <w:spacing w:val="5"/>
      <w:u w:val="single"/>
    </w:rPr>
  </w:style>
  <w:style w:type="character" w:styleId="BookTitle">
    <w:name w:val="Book Title"/>
    <w:uiPriority w:val="33"/>
    <w:qFormat/>
    <w:rsid w:val="004B54CA"/>
    <w:rPr>
      <w:i/>
      <w:iCs/>
      <w:smallCaps/>
      <w:spacing w:val="5"/>
    </w:rPr>
  </w:style>
  <w:style w:type="paragraph" w:styleId="Caption">
    <w:name w:val="caption"/>
    <w:basedOn w:val="Normal"/>
    <w:next w:val="Normal"/>
    <w:uiPriority w:val="35"/>
    <w:semiHidden/>
    <w:unhideWhenUsed/>
    <w:rsid w:val="00785261"/>
    <w:rPr>
      <w:b/>
      <w:bCs/>
      <w:caps/>
      <w:sz w:val="16"/>
      <w:szCs w:val="18"/>
    </w:rPr>
  </w:style>
  <w:style w:type="paragraph" w:styleId="TOCHeading">
    <w:name w:val="TOC Heading"/>
    <w:basedOn w:val="Heading1"/>
    <w:next w:val="Normal"/>
    <w:uiPriority w:val="39"/>
    <w:semiHidden/>
    <w:unhideWhenUsed/>
    <w:qFormat/>
    <w:rsid w:val="004B54CA"/>
    <w:pPr>
      <w:outlineLvl w:val="9"/>
    </w:pPr>
    <w:rPr>
      <w:lang w:bidi="en-US"/>
    </w:rPr>
  </w:style>
  <w:style w:type="character" w:customStyle="1" w:styleId="NoSpacingChar">
    <w:name w:val="No Spacing Char"/>
    <w:basedOn w:val="DefaultParagraphFont"/>
    <w:link w:val="NoSpacing"/>
    <w:uiPriority w:val="1"/>
    <w:rsid w:val="004B54CA"/>
    <w:rPr>
      <w:rFonts w:ascii="Arial" w:hAnsi="Arial"/>
    </w:rPr>
  </w:style>
  <w:style w:type="paragraph" w:styleId="Header">
    <w:name w:val="header"/>
    <w:basedOn w:val="Normal"/>
    <w:link w:val="HeaderChar"/>
    <w:uiPriority w:val="99"/>
    <w:unhideWhenUsed/>
    <w:rsid w:val="002D0C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0C90"/>
    <w:rPr>
      <w:rFonts w:ascii="Arial" w:hAnsi="Arial"/>
    </w:rPr>
  </w:style>
  <w:style w:type="paragraph" w:styleId="Footer">
    <w:name w:val="footer"/>
    <w:basedOn w:val="Normal"/>
    <w:link w:val="FooterChar"/>
    <w:uiPriority w:val="99"/>
    <w:unhideWhenUsed/>
    <w:rsid w:val="002D0C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0C90"/>
    <w:rPr>
      <w:rFonts w:ascii="Arial" w:hAnsi="Arial"/>
    </w:rPr>
  </w:style>
  <w:style w:type="character" w:styleId="Hyperlink">
    <w:name w:val="Hyperlink"/>
    <w:basedOn w:val="DefaultParagraphFont"/>
    <w:uiPriority w:val="99"/>
    <w:unhideWhenUsed/>
    <w:rsid w:val="00ED2672"/>
    <w:rPr>
      <w:color w:val="0000FF" w:themeColor="hyperlink"/>
      <w:u w:val="single"/>
    </w:rPr>
  </w:style>
  <w:style w:type="paragraph" w:styleId="BalloonText">
    <w:name w:val="Balloon Text"/>
    <w:basedOn w:val="Normal"/>
    <w:link w:val="BalloonTextChar"/>
    <w:uiPriority w:val="99"/>
    <w:semiHidden/>
    <w:unhideWhenUsed/>
    <w:rsid w:val="00D973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34C"/>
    <w:rPr>
      <w:rFonts w:ascii="Segoe UI" w:hAnsi="Segoe UI" w:cs="Segoe UI"/>
      <w:sz w:val="18"/>
      <w:szCs w:val="18"/>
    </w:rPr>
  </w:style>
  <w:style w:type="table" w:styleId="TableGrid">
    <w:name w:val="Table Grid"/>
    <w:basedOn w:val="TableNormal"/>
    <w:uiPriority w:val="59"/>
    <w:rsid w:val="00396A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4855D9"/>
    <w:pPr>
      <w:spacing w:after="0" w:line="240" w:lineRule="auto"/>
    </w:pPr>
    <w:rPr>
      <w:sz w:val="20"/>
      <w:szCs w:val="20"/>
    </w:rPr>
  </w:style>
  <w:style w:type="character" w:customStyle="1" w:styleId="FootnoteTextChar">
    <w:name w:val="Footnote Text Char"/>
    <w:basedOn w:val="DefaultParagraphFont"/>
    <w:link w:val="FootnoteText"/>
    <w:uiPriority w:val="99"/>
    <w:rsid w:val="004855D9"/>
    <w:rPr>
      <w:rFonts w:ascii="Arial" w:hAnsi="Arial"/>
      <w:sz w:val="20"/>
      <w:szCs w:val="20"/>
    </w:rPr>
  </w:style>
  <w:style w:type="character" w:styleId="FootnoteReference">
    <w:name w:val="footnote reference"/>
    <w:basedOn w:val="DefaultParagraphFont"/>
    <w:uiPriority w:val="99"/>
    <w:semiHidden/>
    <w:unhideWhenUsed/>
    <w:rsid w:val="004855D9"/>
    <w:rPr>
      <w:vertAlign w:val="superscript"/>
    </w:rPr>
  </w:style>
  <w:style w:type="paragraph" w:customStyle="1" w:styleId="OutlineNumbered1">
    <w:name w:val="Outline Numbered 1"/>
    <w:basedOn w:val="Normal"/>
    <w:link w:val="OutlineNumbered1Char"/>
    <w:rsid w:val="00AA701A"/>
    <w:pPr>
      <w:numPr>
        <w:numId w:val="11"/>
      </w:numPr>
      <w:spacing w:after="120" w:line="240" w:lineRule="auto"/>
    </w:pPr>
    <w:rPr>
      <w:rFonts w:ascii="Calibri" w:eastAsia="Times New Roman" w:hAnsi="Calibri" w:cs="Times New Roman"/>
      <w:szCs w:val="20"/>
      <w:lang w:eastAsia="en-AU"/>
    </w:rPr>
  </w:style>
  <w:style w:type="paragraph" w:customStyle="1" w:styleId="OutlineNumbered2">
    <w:name w:val="Outline Numbered 2"/>
    <w:basedOn w:val="Normal"/>
    <w:rsid w:val="00AA701A"/>
    <w:pPr>
      <w:numPr>
        <w:ilvl w:val="1"/>
        <w:numId w:val="11"/>
      </w:numPr>
      <w:spacing w:after="120" w:line="240" w:lineRule="auto"/>
    </w:pPr>
    <w:rPr>
      <w:rFonts w:ascii="Calibri" w:eastAsia="Times New Roman" w:hAnsi="Calibri" w:cs="Times New Roman"/>
      <w:szCs w:val="20"/>
      <w:lang w:eastAsia="en-AU"/>
    </w:rPr>
  </w:style>
  <w:style w:type="paragraph" w:customStyle="1" w:styleId="OutlineNumbered3">
    <w:name w:val="Outline Numbered 3"/>
    <w:basedOn w:val="Normal"/>
    <w:rsid w:val="00AA701A"/>
    <w:pPr>
      <w:numPr>
        <w:ilvl w:val="2"/>
        <w:numId w:val="11"/>
      </w:numPr>
      <w:spacing w:after="120" w:line="240" w:lineRule="auto"/>
    </w:pPr>
    <w:rPr>
      <w:rFonts w:ascii="Calibri" w:eastAsia="Times New Roman" w:hAnsi="Calibri" w:cs="Times New Roman"/>
      <w:szCs w:val="20"/>
      <w:lang w:eastAsia="en-AU"/>
    </w:rPr>
  </w:style>
  <w:style w:type="numbering" w:customStyle="1" w:styleId="OutlineList">
    <w:name w:val="OutlineList"/>
    <w:uiPriority w:val="99"/>
    <w:rsid w:val="00AA701A"/>
    <w:pPr>
      <w:numPr>
        <w:numId w:val="10"/>
      </w:numPr>
    </w:pPr>
  </w:style>
  <w:style w:type="character" w:customStyle="1" w:styleId="OutlineNumbered1Char">
    <w:name w:val="Outline Numbered 1 Char"/>
    <w:basedOn w:val="DefaultParagraphFont"/>
    <w:link w:val="OutlineNumbered1"/>
    <w:rsid w:val="00AA701A"/>
    <w:rPr>
      <w:rFonts w:ascii="Calibri" w:eastAsia="Times New Roman" w:hAnsi="Calibri" w:cs="Times New Roman"/>
      <w:szCs w:val="20"/>
      <w:lang w:eastAsia="en-AU"/>
    </w:rPr>
  </w:style>
  <w:style w:type="paragraph" w:customStyle="1" w:styleId="GivingReportBulletlevel2">
    <w:name w:val="Giving Report Bullet level 2"/>
    <w:basedOn w:val="Normal"/>
    <w:qFormat/>
    <w:rsid w:val="002E29F2"/>
    <w:pPr>
      <w:numPr>
        <w:numId w:val="13"/>
      </w:numPr>
      <w:contextualSpacing/>
    </w:pPr>
    <w:rPr>
      <w:rFonts w:ascii="Calibri Light" w:hAnsi="Calibri Light" w:cs="HelveticaNeue-Roman"/>
    </w:rPr>
  </w:style>
  <w:style w:type="paragraph" w:styleId="TOC2">
    <w:name w:val="toc 2"/>
    <w:basedOn w:val="Normal"/>
    <w:next w:val="Normal"/>
    <w:uiPriority w:val="39"/>
    <w:qFormat/>
    <w:rsid w:val="00CB300D"/>
    <w:pPr>
      <w:keepNext/>
      <w:tabs>
        <w:tab w:val="right" w:leader="dot" w:pos="9072"/>
      </w:tabs>
      <w:spacing w:before="40" w:after="20" w:line="240" w:lineRule="auto"/>
      <w:ind w:right="-2"/>
    </w:pPr>
    <w:rPr>
      <w:rFonts w:ascii="Calibri" w:eastAsia="Times New Roman" w:hAnsi="Calibri" w:cs="Times New Roman"/>
      <w:noProof/>
      <w:color w:val="004A7F"/>
      <w:szCs w:val="20"/>
      <w:lang w:eastAsia="en-AU"/>
    </w:rPr>
  </w:style>
  <w:style w:type="character" w:customStyle="1" w:styleId="GivingReportDirectQuoteChar">
    <w:name w:val="Giving Report Direct Quote Char"/>
    <w:basedOn w:val="DefaultParagraphFont"/>
    <w:link w:val="GivingReportDirectQuote"/>
    <w:locked/>
    <w:rsid w:val="00D835CA"/>
    <w:rPr>
      <w:rFonts w:ascii="Calibri Light" w:hAnsi="Calibri Light" w:cs="Calibri Light"/>
      <w:i/>
      <w:iCs/>
    </w:rPr>
  </w:style>
  <w:style w:type="paragraph" w:customStyle="1" w:styleId="GivingReportDirectQuote">
    <w:name w:val="Giving Report Direct Quote"/>
    <w:basedOn w:val="Normal"/>
    <w:link w:val="GivingReportDirectQuoteChar"/>
    <w:rsid w:val="00D835CA"/>
    <w:pPr>
      <w:keepNext/>
      <w:spacing w:after="0"/>
      <w:ind w:left="567"/>
    </w:pPr>
    <w:rPr>
      <w:rFonts w:ascii="Calibri Light" w:hAnsi="Calibri Light" w:cs="Calibri Light"/>
      <w:i/>
      <w:iCs/>
    </w:rPr>
  </w:style>
  <w:style w:type="character" w:customStyle="1" w:styleId="FocusgrouplabelChar">
    <w:name w:val="Focus group label Char"/>
    <w:basedOn w:val="DefaultParagraphFont"/>
    <w:link w:val="Focusgrouplabel"/>
    <w:locked/>
    <w:rsid w:val="00D835CA"/>
    <w:rPr>
      <w:rFonts w:ascii="Calibri Light" w:hAnsi="Calibri Light" w:cs="Calibri Light"/>
      <w:b/>
      <w:bCs/>
      <w:i/>
      <w:iCs/>
      <w:color w:val="000000"/>
    </w:rPr>
  </w:style>
  <w:style w:type="paragraph" w:customStyle="1" w:styleId="Focusgrouplabel">
    <w:name w:val="Focus group label"/>
    <w:basedOn w:val="Normal"/>
    <w:link w:val="FocusgrouplabelChar"/>
    <w:rsid w:val="00D835CA"/>
    <w:pPr>
      <w:keepNext/>
      <w:spacing w:after="240"/>
      <w:ind w:left="567"/>
    </w:pPr>
    <w:rPr>
      <w:rFonts w:ascii="Calibri Light" w:hAnsi="Calibri Light" w:cs="Calibri Light"/>
      <w:b/>
      <w:bCs/>
      <w:i/>
      <w:iCs/>
      <w:color w:val="000000"/>
    </w:rPr>
  </w:style>
  <w:style w:type="character" w:styleId="FollowedHyperlink">
    <w:name w:val="FollowedHyperlink"/>
    <w:basedOn w:val="DefaultParagraphFont"/>
    <w:uiPriority w:val="99"/>
    <w:semiHidden/>
    <w:unhideWhenUsed/>
    <w:rsid w:val="004A26A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95540">
      <w:bodyDiv w:val="1"/>
      <w:marLeft w:val="0"/>
      <w:marRight w:val="0"/>
      <w:marTop w:val="0"/>
      <w:marBottom w:val="0"/>
      <w:divBdr>
        <w:top w:val="none" w:sz="0" w:space="0" w:color="auto"/>
        <w:left w:val="none" w:sz="0" w:space="0" w:color="auto"/>
        <w:bottom w:val="none" w:sz="0" w:space="0" w:color="auto"/>
        <w:right w:val="none" w:sz="0" w:space="0" w:color="auto"/>
      </w:divBdr>
    </w:div>
    <w:div w:id="1163081092">
      <w:bodyDiv w:val="1"/>
      <w:marLeft w:val="0"/>
      <w:marRight w:val="0"/>
      <w:marTop w:val="0"/>
      <w:marBottom w:val="0"/>
      <w:divBdr>
        <w:top w:val="none" w:sz="0" w:space="0" w:color="auto"/>
        <w:left w:val="none" w:sz="0" w:space="0" w:color="auto"/>
        <w:bottom w:val="none" w:sz="0" w:space="0" w:color="auto"/>
        <w:right w:val="none" w:sz="0" w:space="0" w:color="auto"/>
      </w:divBdr>
    </w:div>
    <w:div w:id="1515147364">
      <w:bodyDiv w:val="1"/>
      <w:marLeft w:val="0"/>
      <w:marRight w:val="0"/>
      <w:marTop w:val="0"/>
      <w:marBottom w:val="0"/>
      <w:divBdr>
        <w:top w:val="none" w:sz="0" w:space="0" w:color="auto"/>
        <w:left w:val="none" w:sz="0" w:space="0" w:color="auto"/>
        <w:bottom w:val="none" w:sz="0" w:space="0" w:color="auto"/>
        <w:right w:val="none" w:sz="0" w:space="0" w:color="auto"/>
      </w:divBdr>
    </w:div>
    <w:div w:id="164006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hyperlink" Target="https://www.acnc.gov.au" TargetMode="External"/><Relationship Id="rId3" Type="http://schemas.openxmlformats.org/officeDocument/2006/relationships/hyperlink" Target="http://www.frsb.org.uk/wp-content/uploads/2016/01/FRSB-Investigation-Report-Into-Charity-Fundraising-Practices-Instigated-by-the-Mrs-Cooke-Case.pdf" TargetMode="External"/><Relationship Id="rId7" Type="http://schemas.openxmlformats.org/officeDocument/2006/relationships/hyperlink" Target="https://www.themandarin.com.au/68308-acnc-proactive-reform-establish-facilitative-regulator/" TargetMode="External"/><Relationship Id="rId2" Type="http://schemas.openxmlformats.org/officeDocument/2006/relationships/hyperlink" Target="http://eprints.qut.edu.au/75397/4/75397(updated).pdf" TargetMode="External"/><Relationship Id="rId1" Type="http://schemas.openxmlformats.org/officeDocument/2006/relationships/hyperlink" Target="http://www.acnc.gov.au" TargetMode="External"/><Relationship Id="rId6" Type="http://schemas.openxmlformats.org/officeDocument/2006/relationships/hyperlink" Target="http://www.acnc.gov.au" TargetMode="External"/><Relationship Id="rId5" Type="http://schemas.openxmlformats.org/officeDocument/2006/relationships/hyperlink" Target="https://www.communitybusinesspartnership.gov.au/about/working-groups/innovation-and-culture/" TargetMode="External"/><Relationship Id="rId10" Type="http://schemas.openxmlformats.org/officeDocument/2006/relationships/hyperlink" Target="https://www.becollective.com/features/" TargetMode="External"/><Relationship Id="rId4" Type="http://schemas.openxmlformats.org/officeDocument/2006/relationships/hyperlink" Target="https://pacscenter.stanford.edu/digital-civil-society/" TargetMode="External"/><Relationship Id="rId9" Type="http://schemas.openxmlformats.org/officeDocument/2006/relationships/hyperlink" Target="https://gr-eat.eu/the-volunteer-passport-france-benevola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0C9CF-3F2D-4E0E-ADE8-2683BD19A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1</Pages>
  <Words>11177</Words>
  <Characters>63709</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
    </vt:vector>
  </TitlesOfParts>
  <Company>Australian Government</Company>
  <LinksUpToDate>false</LinksUpToDate>
  <CharactersWithSpaces>74737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HUTA, Peter</dc:creator>
  <cp:keywords/>
  <dc:description/>
  <cp:lastModifiedBy>CLARK, Ian</cp:lastModifiedBy>
  <cp:revision>84</cp:revision>
  <cp:lastPrinted>2018-03-07T04:02:00Z</cp:lastPrinted>
  <dcterms:created xsi:type="dcterms:W3CDTF">2018-03-06T23:11:00Z</dcterms:created>
  <dcterms:modified xsi:type="dcterms:W3CDTF">2018-03-26T03:15:00Z</dcterms:modified>
  <cp:contentStatus/>
</cp:coreProperties>
</file>