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AB7" w:rsidRPr="00254126" w:rsidRDefault="008B3AB7" w:rsidP="008B3AB7">
      <w:pPr>
        <w:pStyle w:val="FactSheetTitle"/>
        <w:spacing w:before="120" w:after="0" w:line="240" w:lineRule="auto"/>
        <w:jc w:val="right"/>
        <w:rPr>
          <w:b w:val="0"/>
          <w:color w:val="auto"/>
          <w:sz w:val="32"/>
          <w:szCs w:val="32"/>
          <w:lang w:val="en-US"/>
        </w:rPr>
      </w:pPr>
      <w:r w:rsidRPr="00254126">
        <w:rPr>
          <w:b w:val="0"/>
          <w:color w:val="auto"/>
          <w:sz w:val="32"/>
          <w:szCs w:val="32"/>
          <w:lang w:val="en-US"/>
        </w:rPr>
        <w:t>NONPROFIT ORGANISATIONS</w:t>
      </w:r>
    </w:p>
    <w:p w:rsidR="008B3AB7" w:rsidRPr="00254126" w:rsidRDefault="008B3AB7" w:rsidP="008B3AB7">
      <w:pPr>
        <w:spacing w:before="240"/>
        <w:jc w:val="right"/>
        <w:rPr>
          <w:rFonts w:ascii="Century Gothic" w:hAnsi="Century Gothic"/>
          <w:sz w:val="24"/>
        </w:rPr>
      </w:pPr>
      <w:r w:rsidRPr="00254126">
        <w:rPr>
          <w:rFonts w:ascii="Century Gothic" w:hAnsi="Century Gothic"/>
          <w:sz w:val="24"/>
        </w:rPr>
        <w:t>How different NPOs engage support</w:t>
      </w:r>
    </w:p>
    <w:p w:rsidR="008B3AB7" w:rsidRPr="00254126" w:rsidRDefault="008B3AB7" w:rsidP="007D4873">
      <w:pPr>
        <w:pStyle w:val="Heading1"/>
        <w:spacing w:before="480"/>
      </w:pPr>
      <w:r w:rsidRPr="00254126">
        <w:t>Support generation by sector</w:t>
      </w:r>
    </w:p>
    <w:p w:rsidR="008B3AB7" w:rsidRPr="00254126" w:rsidRDefault="008B3AB7" w:rsidP="008B3AB7">
      <w:pPr>
        <w:pStyle w:val="GivingReportBulletlevel2"/>
        <w:spacing w:after="0" w:line="320" w:lineRule="exact"/>
      </w:pPr>
      <w:r w:rsidRPr="00254126">
        <w:t>Figure 1 presents the percentage of each organisation type engaged in fundraising, volunteer recruitment, community business partnerships and social enterprise.</w:t>
      </w:r>
    </w:p>
    <w:p w:rsidR="008B3AB7" w:rsidRPr="00254126" w:rsidRDefault="008B3AB7" w:rsidP="008B3AB7">
      <w:pPr>
        <w:spacing w:before="240"/>
        <w:ind w:left="144"/>
        <w:rPr>
          <w:rFonts w:ascii="Century Gothic" w:hAnsi="Century Gothic"/>
          <w:sz w:val="24"/>
        </w:rPr>
      </w:pPr>
      <w:r w:rsidRPr="00254126">
        <w:rPr>
          <w:rFonts w:ascii="Century Gothic" w:hAnsi="Century Gothic"/>
          <w:noProof/>
          <w:sz w:val="24"/>
          <w:lang w:val="en-US"/>
        </w:rPr>
        <w:drawing>
          <wp:inline distT="0" distB="0" distL="0" distR="0" wp14:anchorId="6258FFB5" wp14:editId="0B569D7F">
            <wp:extent cx="2687014" cy="5490210"/>
            <wp:effectExtent l="0" t="0" r="0" b="0"/>
            <wp:docPr id="30" name="Picture 30" descr="Culture and recreation, Fundraising=73%, Volunteer recruitment=72%, Partnerships=26%, Social enterprise=13%; Education Fundraising=70%, Volunteer recruitment=62%, Partnerships=17%, Social enterprise=14%; Health,   Fundraising=58%, Volunteer recruitment=67%, Partnerships=27%, Social enterprise=15%; Social services,  Fundraising=61%, Volunteer recruitment=68%, Partnerships=29%, Social enterprise=13%; Environment,  Fundraising=38%, Volunteer recruitment=67%, Partnerships=33%, Social enterprise=10%; Animal protection,  Fundraising=83%, Volunteer recruitment=92%, Partnerships=8%, Social enterprise=17%; Development and housing,  Fundraising=32%, Volunteer recruitment=51%, Partnerships=30%, Social enterprise=24%; Law, advocacy and politics,  Fundraising=60%, Volunteer recruitment=60%, Partnerships=35%, Social enterprise=20%; Philanthropic intermediaries,  Fundraising=37%, Volunteer recruitment=37%, Partnerships=31%, Social enterprise=11%; International,  Fundraising=77%, Volunteer recruitment=68%, Partnerships=18%, Social enterprise=0%; Religion,  Fundraising=54%, Volunteer recruitment=56%, Partnerships=9%, Social enterprise=12%; " title="Figure 1: Support generation by s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un255\Shared\HARENDRA\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014" cy="549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AB7" w:rsidRPr="00254126" w:rsidRDefault="008B3AB7" w:rsidP="008B3AB7">
      <w:pPr>
        <w:spacing w:before="240"/>
        <w:rPr>
          <w:rFonts w:ascii="Century Gothic" w:hAnsi="Century Gothic"/>
          <w:sz w:val="24"/>
        </w:rPr>
      </w:pPr>
      <w:r w:rsidRPr="00254126">
        <w:lastRenderedPageBreak/>
        <w:t>Figure 1: Support generation by sector</w:t>
      </w:r>
    </w:p>
    <w:p w:rsidR="008B3AB7" w:rsidRPr="00254126" w:rsidRDefault="008B3AB7" w:rsidP="008B3AB7">
      <w:r w:rsidRPr="00254126">
        <w:rPr>
          <w:rFonts w:eastAsia="Times New Roman" w:cs="Calibri Light"/>
          <w:lang w:eastAsia="en-AU"/>
        </w:rPr>
        <w:t xml:space="preserve">Fundraising was the primary activity for respondent organisations working in culture and recreation, education and international fields. </w:t>
      </w:r>
      <w:r w:rsidRPr="00254126">
        <w:t>Animal protection organisations were most likely to fundraise and recruit volunteers. Nearly a quarter of development and housing organisations were involved in social enterprise, while law, advocacy and political organisations were most likely to be involved in community business partnerships.</w:t>
      </w:r>
    </w:p>
    <w:p w:rsidR="008B3AB7" w:rsidRPr="00254126" w:rsidRDefault="008B3AB7" w:rsidP="008B3AB7">
      <w:r w:rsidRPr="00254126">
        <w:t>Culture and recreation organisations were most likely to use membership; education, health and social service organisations most commonly used events. Regular giving was used by three-quarters of religious organisations.</w:t>
      </w:r>
    </w:p>
    <w:p w:rsidR="008B3AB7" w:rsidRPr="00254126" w:rsidRDefault="008B3AB7" w:rsidP="00061248">
      <w:pPr>
        <w:spacing w:before="240"/>
      </w:pPr>
      <w:r w:rsidRPr="00254126">
        <w:t>Table 1: Fundraising practices</w:t>
      </w:r>
      <w:bookmarkStart w:id="0" w:name="_GoBack"/>
      <w:bookmarkEnd w:id="0"/>
      <w:r w:rsidRPr="00254126">
        <w:t xml:space="preserve"> by sector</w:t>
      </w:r>
    </w:p>
    <w:tbl>
      <w:tblPr>
        <w:tblStyle w:val="ListTable6Colorful-Accent11"/>
        <w:tblW w:w="5000" w:type="pct"/>
        <w:tblLook w:val="04A0" w:firstRow="1" w:lastRow="0" w:firstColumn="1" w:lastColumn="0" w:noHBand="0" w:noVBand="1"/>
        <w:tblCaption w:val="Table 1: Fundraising practices by sector"/>
      </w:tblPr>
      <w:tblGrid>
        <w:gridCol w:w="3111"/>
        <w:gridCol w:w="2337"/>
        <w:gridCol w:w="1185"/>
        <w:gridCol w:w="875"/>
        <w:gridCol w:w="1574"/>
        <w:gridCol w:w="998"/>
      </w:tblGrid>
      <w:tr w:rsidR="008B3AB7" w:rsidRPr="00254126" w:rsidTr="00934A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Practice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Culture and recreation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Education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Health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Social services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Religion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Regular giving program</w:t>
            </w:r>
          </w:p>
        </w:tc>
        <w:tc>
          <w:tcPr>
            <w:tcW w:w="1159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16.1%</w:t>
            </w:r>
          </w:p>
        </w:tc>
        <w:tc>
          <w:tcPr>
            <w:tcW w:w="588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27.9%</w:t>
            </w: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23.9%</w:t>
            </w:r>
          </w:p>
        </w:tc>
        <w:tc>
          <w:tcPr>
            <w:tcW w:w="781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26.0%</w:t>
            </w:r>
          </w:p>
        </w:tc>
        <w:tc>
          <w:tcPr>
            <w:tcW w:w="496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75.2%</w:t>
            </w:r>
          </w:p>
        </w:tc>
      </w:tr>
      <w:tr w:rsidR="008B3AB7" w:rsidRPr="00254126" w:rsidTr="00934A7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Fundraising campaigns</w:t>
            </w:r>
          </w:p>
        </w:tc>
        <w:tc>
          <w:tcPr>
            <w:tcW w:w="1159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28.1%</w:t>
            </w:r>
          </w:p>
        </w:tc>
        <w:tc>
          <w:tcPr>
            <w:tcW w:w="58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26.2%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32.6%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27.1%</w:t>
            </w:r>
          </w:p>
        </w:tc>
        <w:tc>
          <w:tcPr>
            <w:tcW w:w="496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28.6%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Face-to-face appeals</w:t>
            </w:r>
          </w:p>
        </w:tc>
        <w:tc>
          <w:tcPr>
            <w:tcW w:w="1159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31.3%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23.0%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21.7%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26.0%</w:t>
            </w:r>
          </w:p>
        </w:tc>
        <w:tc>
          <w:tcPr>
            <w:tcW w:w="496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20.0%</w:t>
            </w:r>
          </w:p>
        </w:tc>
      </w:tr>
      <w:tr w:rsidR="008B3AB7" w:rsidRPr="00254126" w:rsidTr="00934A7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Corporate appeals</w:t>
            </w:r>
          </w:p>
        </w:tc>
        <w:tc>
          <w:tcPr>
            <w:tcW w:w="1159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23.4%</w:t>
            </w:r>
          </w:p>
        </w:tc>
        <w:tc>
          <w:tcPr>
            <w:tcW w:w="58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26.2%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54.3%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37.5%</w:t>
            </w:r>
          </w:p>
        </w:tc>
        <w:tc>
          <w:tcPr>
            <w:tcW w:w="496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8.6%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E07BF8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Nongovernment grant seeking</w:t>
            </w:r>
          </w:p>
        </w:tc>
        <w:tc>
          <w:tcPr>
            <w:tcW w:w="1159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40.6%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24.6%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45.7%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46.9%</w:t>
            </w:r>
          </w:p>
        </w:tc>
        <w:tc>
          <w:tcPr>
            <w:tcW w:w="496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19.0%</w:t>
            </w:r>
          </w:p>
        </w:tc>
      </w:tr>
      <w:tr w:rsidR="008B3AB7" w:rsidRPr="00254126" w:rsidTr="00934A7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Events</w:t>
            </w:r>
          </w:p>
        </w:tc>
        <w:tc>
          <w:tcPr>
            <w:tcW w:w="1159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56.3%</w:t>
            </w:r>
          </w:p>
        </w:tc>
        <w:tc>
          <w:tcPr>
            <w:tcW w:w="58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75.4%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60.9%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59.4%</w:t>
            </w:r>
          </w:p>
        </w:tc>
        <w:tc>
          <w:tcPr>
            <w:tcW w:w="496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52.4%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Sale of goods</w:t>
            </w:r>
          </w:p>
        </w:tc>
        <w:tc>
          <w:tcPr>
            <w:tcW w:w="1159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32.8%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37.7%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39.1%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35.4%</w:t>
            </w:r>
          </w:p>
        </w:tc>
        <w:tc>
          <w:tcPr>
            <w:tcW w:w="496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32.4%</w:t>
            </w:r>
          </w:p>
        </w:tc>
      </w:tr>
      <w:tr w:rsidR="008B3AB7" w:rsidRPr="00254126" w:rsidTr="00934A7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Gaming</w:t>
            </w:r>
          </w:p>
        </w:tc>
        <w:tc>
          <w:tcPr>
            <w:tcW w:w="1159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34.4%</w:t>
            </w:r>
          </w:p>
        </w:tc>
        <w:tc>
          <w:tcPr>
            <w:tcW w:w="58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36.1%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39.1%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31.3%</w:t>
            </w:r>
          </w:p>
        </w:tc>
        <w:tc>
          <w:tcPr>
            <w:tcW w:w="496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5.7%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Technology-based appeals</w:t>
            </w:r>
          </w:p>
        </w:tc>
        <w:tc>
          <w:tcPr>
            <w:tcW w:w="1159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25.0%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32.8%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47.8%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42.7%</w:t>
            </w:r>
          </w:p>
        </w:tc>
        <w:tc>
          <w:tcPr>
            <w:tcW w:w="496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20.0%</w:t>
            </w:r>
          </w:p>
        </w:tc>
      </w:tr>
      <w:tr w:rsidR="008B3AB7" w:rsidRPr="00254126" w:rsidTr="00934A7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Media appeals</w:t>
            </w:r>
            <w:r w:rsidRPr="00254126">
              <w:rPr>
                <w:b w:val="0"/>
                <w:color w:val="auto"/>
                <w:sz w:val="18"/>
                <w:szCs w:val="18"/>
              </w:rPr>
              <w:br/>
            </w:r>
          </w:p>
        </w:tc>
        <w:tc>
          <w:tcPr>
            <w:tcW w:w="1159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9.4%</w:t>
            </w:r>
          </w:p>
        </w:tc>
        <w:tc>
          <w:tcPr>
            <w:tcW w:w="58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4.9%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13.0%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11.5%</w:t>
            </w:r>
          </w:p>
        </w:tc>
        <w:tc>
          <w:tcPr>
            <w:tcW w:w="496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4.8%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 xml:space="preserve">Membership </w:t>
            </w:r>
          </w:p>
        </w:tc>
        <w:tc>
          <w:tcPr>
            <w:tcW w:w="1159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75.0%</w:t>
            </w:r>
          </w:p>
        </w:tc>
        <w:tc>
          <w:tcPr>
            <w:tcW w:w="588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36.1%</w:t>
            </w:r>
          </w:p>
        </w:tc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45.7%</w:t>
            </w:r>
          </w:p>
        </w:tc>
        <w:tc>
          <w:tcPr>
            <w:tcW w:w="781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37.5%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21.9%</w:t>
            </w:r>
          </w:p>
        </w:tc>
      </w:tr>
    </w:tbl>
    <w:p w:rsidR="008B3AB7" w:rsidRPr="00254126" w:rsidRDefault="008B3AB7" w:rsidP="000260F2">
      <w:pPr>
        <w:pStyle w:val="GivingReportDirectQuote"/>
        <w:spacing w:before="240" w:after="0"/>
        <w:ind w:left="562"/>
        <w:rPr>
          <w:color w:val="auto"/>
        </w:rPr>
      </w:pPr>
      <w:r w:rsidRPr="00254126">
        <w:rPr>
          <w:color w:val="auto"/>
        </w:rPr>
        <w:t>So we have seen not only a great response to our email appeals, but also people donating via our Facebook and social media as well.  I think it depends on the demographic.</w:t>
      </w:r>
    </w:p>
    <w:p w:rsidR="00782705" w:rsidRPr="00990559" w:rsidRDefault="008B3AB7" w:rsidP="008B3AB7">
      <w:pPr>
        <w:pStyle w:val="Focusgrouplabel"/>
        <w:rPr>
          <w:color w:val="000000" w:themeColor="text1"/>
        </w:rPr>
      </w:pPr>
      <w:r w:rsidRPr="00254126">
        <w:t>- Focus group, Digital giving managers, Online</w:t>
      </w:r>
    </w:p>
    <w:p w:rsidR="006423B4" w:rsidRPr="00990559" w:rsidRDefault="006423B4">
      <w:pPr>
        <w:rPr>
          <w:color w:val="000000" w:themeColor="text1"/>
        </w:rPr>
      </w:pPr>
    </w:p>
    <w:p w:rsidR="008B3AB7" w:rsidRDefault="008B3AB7">
      <w:pPr>
        <w:rPr>
          <w:color w:val="000000" w:themeColor="text1"/>
        </w:rPr>
        <w:sectPr w:rsidR="008B3AB7" w:rsidSect="00E33564">
          <w:headerReference w:type="even" r:id="rId9"/>
          <w:headerReference w:type="first" r:id="rId10"/>
          <w:pgSz w:w="11906" w:h="16838" w:code="9"/>
          <w:pgMar w:top="1701" w:right="1021" w:bottom="851" w:left="1021" w:header="0" w:footer="567" w:gutter="0"/>
          <w:cols w:space="708"/>
          <w:titlePg/>
          <w:docGrid w:linePitch="360"/>
        </w:sectPr>
      </w:pPr>
    </w:p>
    <w:p w:rsidR="008B3AB7" w:rsidRPr="00254126" w:rsidRDefault="008B3AB7" w:rsidP="003D032E">
      <w:pPr>
        <w:pStyle w:val="Heading1"/>
      </w:pPr>
      <w:r w:rsidRPr="00254126">
        <w:lastRenderedPageBreak/>
        <w:t>Uptake of new technologies</w:t>
      </w:r>
    </w:p>
    <w:p w:rsidR="008B3AB7" w:rsidRPr="00254126" w:rsidRDefault="008B3AB7" w:rsidP="008B3AB7">
      <w:r w:rsidRPr="00254126">
        <w:t>Over 90% of international, animal protection and law, advocacy and politics organisations had a website/webpage, while three-quarters of animal protection organisations had a social media presence.</w:t>
      </w:r>
    </w:p>
    <w:p w:rsidR="008B3AB7" w:rsidRPr="00F2417E" w:rsidRDefault="008B3AB7" w:rsidP="008B3AB7">
      <w:pPr>
        <w:pStyle w:val="GivingReportTableTitle"/>
        <w:rPr>
          <w:b w:val="0"/>
        </w:rPr>
      </w:pPr>
      <w:r w:rsidRPr="00F2417E">
        <w:rPr>
          <w:b w:val="0"/>
        </w:rPr>
        <w:t>Table 2: Use of technologies by sector</w:t>
      </w:r>
    </w:p>
    <w:tbl>
      <w:tblPr>
        <w:tblStyle w:val="ListTable6Colorful-Accent11"/>
        <w:tblW w:w="5000" w:type="pct"/>
        <w:tblLook w:val="04A0" w:firstRow="1" w:lastRow="0" w:firstColumn="1" w:lastColumn="0" w:noHBand="0" w:noVBand="1"/>
        <w:tblCaption w:val="Table 2: Use of technologies by sector "/>
      </w:tblPr>
      <w:tblGrid>
        <w:gridCol w:w="2494"/>
        <w:gridCol w:w="1778"/>
        <w:gridCol w:w="1266"/>
        <w:gridCol w:w="2494"/>
        <w:gridCol w:w="2048"/>
      </w:tblGrid>
      <w:tr w:rsidR="008B3AB7" w:rsidRPr="00254126" w:rsidTr="00934A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4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spacing w:after="0" w:line="240" w:lineRule="auto"/>
              <w:rPr>
                <w:color w:val="auto"/>
                <w:sz w:val="18"/>
              </w:rPr>
            </w:pPr>
            <w:r w:rsidRPr="00254126">
              <w:rPr>
                <w:color w:val="auto"/>
                <w:sz w:val="18"/>
              </w:rPr>
              <w:t>Sector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B021A6">
            <w:pPr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</w:rPr>
            </w:pPr>
            <w:r w:rsidRPr="00254126">
              <w:rPr>
                <w:color w:val="auto"/>
                <w:sz w:val="18"/>
              </w:rPr>
              <w:t>Website/</w:t>
            </w:r>
            <w:r w:rsidRPr="00254126">
              <w:rPr>
                <w:noProof/>
                <w:color w:val="auto"/>
                <w:sz w:val="18"/>
              </w:rPr>
              <w:t>Webpage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</w:rPr>
            </w:pPr>
            <w:r w:rsidRPr="00254126">
              <w:rPr>
                <w:color w:val="auto"/>
                <w:sz w:val="18"/>
              </w:rPr>
              <w:t>Social media</w:t>
            </w:r>
          </w:p>
        </w:tc>
        <w:tc>
          <w:tcPr>
            <w:tcW w:w="1237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</w:rPr>
            </w:pPr>
            <w:r w:rsidRPr="00254126">
              <w:rPr>
                <w:color w:val="auto"/>
                <w:sz w:val="18"/>
              </w:rPr>
              <w:t>Third party fundraising platforms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</w:rPr>
            </w:pPr>
            <w:r w:rsidRPr="00254126">
              <w:rPr>
                <w:color w:val="auto"/>
                <w:sz w:val="18"/>
              </w:rPr>
              <w:t>Crowd-funding campaign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>Culture and recreation</w:t>
            </w:r>
          </w:p>
        </w:tc>
        <w:tc>
          <w:tcPr>
            <w:tcW w:w="882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86.2%</w:t>
            </w:r>
          </w:p>
        </w:tc>
        <w:tc>
          <w:tcPr>
            <w:tcW w:w="628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73.3%</w:t>
            </w:r>
          </w:p>
        </w:tc>
        <w:tc>
          <w:tcPr>
            <w:tcW w:w="1237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5.8%</w:t>
            </w:r>
          </w:p>
        </w:tc>
        <w:tc>
          <w:tcPr>
            <w:tcW w:w="1016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2.3%</w:t>
            </w:r>
          </w:p>
        </w:tc>
      </w:tr>
      <w:tr w:rsidR="008B3AB7" w:rsidRPr="00254126" w:rsidTr="00934A7B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>Education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77.0%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64.4%</w:t>
            </w:r>
          </w:p>
        </w:tc>
        <w:tc>
          <w:tcPr>
            <w:tcW w:w="1237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8.0%</w:t>
            </w:r>
          </w:p>
        </w:tc>
        <w:tc>
          <w:tcPr>
            <w:tcW w:w="1016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5.8%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 xml:space="preserve">Health </w:t>
            </w:r>
          </w:p>
        </w:tc>
        <w:tc>
          <w:tcPr>
            <w:tcW w:w="882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81.0%</w:t>
            </w:r>
          </w:p>
        </w:tc>
        <w:tc>
          <w:tcPr>
            <w:tcW w:w="62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67.1%</w:t>
            </w:r>
          </w:p>
        </w:tc>
        <w:tc>
          <w:tcPr>
            <w:tcW w:w="1237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25.3%</w:t>
            </w:r>
          </w:p>
        </w:tc>
        <w:tc>
          <w:tcPr>
            <w:tcW w:w="1016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6.3%</w:t>
            </w:r>
          </w:p>
        </w:tc>
      </w:tr>
      <w:tr w:rsidR="008B3AB7" w:rsidRPr="00254126" w:rsidTr="00934A7B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>Social services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72.1%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61.8%</w:t>
            </w:r>
          </w:p>
        </w:tc>
        <w:tc>
          <w:tcPr>
            <w:tcW w:w="1237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15.9%</w:t>
            </w:r>
          </w:p>
        </w:tc>
        <w:tc>
          <w:tcPr>
            <w:tcW w:w="1016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3.8%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>Environment</w:t>
            </w:r>
          </w:p>
        </w:tc>
        <w:tc>
          <w:tcPr>
            <w:tcW w:w="882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71.4%</w:t>
            </w:r>
          </w:p>
        </w:tc>
        <w:tc>
          <w:tcPr>
            <w:tcW w:w="62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61.9%</w:t>
            </w:r>
          </w:p>
        </w:tc>
        <w:tc>
          <w:tcPr>
            <w:tcW w:w="1237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14.3%</w:t>
            </w:r>
          </w:p>
        </w:tc>
        <w:tc>
          <w:tcPr>
            <w:tcW w:w="1016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9.5%</w:t>
            </w:r>
          </w:p>
        </w:tc>
      </w:tr>
      <w:tr w:rsidR="008B3AB7" w:rsidRPr="00254126" w:rsidTr="00934A7B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>Animal protection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91.7%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75.0%</w:t>
            </w:r>
          </w:p>
        </w:tc>
        <w:tc>
          <w:tcPr>
            <w:tcW w:w="1237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41.7%</w:t>
            </w:r>
          </w:p>
        </w:tc>
        <w:tc>
          <w:tcPr>
            <w:tcW w:w="1016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25.0%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>Development and housing</w:t>
            </w:r>
          </w:p>
        </w:tc>
        <w:tc>
          <w:tcPr>
            <w:tcW w:w="882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62.2%</w:t>
            </w:r>
          </w:p>
        </w:tc>
        <w:tc>
          <w:tcPr>
            <w:tcW w:w="62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43.2%</w:t>
            </w:r>
          </w:p>
        </w:tc>
        <w:tc>
          <w:tcPr>
            <w:tcW w:w="1237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2.7%</w:t>
            </w:r>
          </w:p>
        </w:tc>
        <w:tc>
          <w:tcPr>
            <w:tcW w:w="1016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2.7%</w:t>
            </w:r>
          </w:p>
        </w:tc>
      </w:tr>
      <w:tr w:rsidR="008B3AB7" w:rsidRPr="00254126" w:rsidTr="00934A7B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>Law, advocacy and politics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90.0%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70.0%</w:t>
            </w:r>
          </w:p>
        </w:tc>
        <w:tc>
          <w:tcPr>
            <w:tcW w:w="1237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10.0%</w:t>
            </w:r>
          </w:p>
        </w:tc>
        <w:tc>
          <w:tcPr>
            <w:tcW w:w="1016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0.0%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>Philanthropic intermediaries</w:t>
            </w:r>
          </w:p>
        </w:tc>
        <w:tc>
          <w:tcPr>
            <w:tcW w:w="882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57.1%</w:t>
            </w:r>
          </w:p>
        </w:tc>
        <w:tc>
          <w:tcPr>
            <w:tcW w:w="62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28.6%</w:t>
            </w:r>
          </w:p>
        </w:tc>
        <w:tc>
          <w:tcPr>
            <w:tcW w:w="1237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8.6%</w:t>
            </w:r>
          </w:p>
        </w:tc>
        <w:tc>
          <w:tcPr>
            <w:tcW w:w="1016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0.0%</w:t>
            </w:r>
          </w:p>
        </w:tc>
      </w:tr>
      <w:tr w:rsidR="008B3AB7" w:rsidRPr="00254126" w:rsidTr="00934A7B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>International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91.8%</w:t>
            </w:r>
          </w:p>
        </w:tc>
        <w:tc>
          <w:tcPr>
            <w:tcW w:w="62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72.7%</w:t>
            </w:r>
          </w:p>
        </w:tc>
        <w:tc>
          <w:tcPr>
            <w:tcW w:w="1237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31.8%</w:t>
            </w:r>
          </w:p>
        </w:tc>
        <w:tc>
          <w:tcPr>
            <w:tcW w:w="1016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9.1%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7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 w:line="240" w:lineRule="auto"/>
              <w:rPr>
                <w:rFonts w:cs="Calibri Light"/>
                <w:b w:val="0"/>
                <w:color w:val="auto"/>
                <w:sz w:val="18"/>
                <w:szCs w:val="18"/>
              </w:rPr>
            </w:pPr>
            <w:r w:rsidRPr="00254126">
              <w:rPr>
                <w:rFonts w:cs="Calibri Light"/>
                <w:b w:val="0"/>
                <w:color w:val="auto"/>
                <w:sz w:val="18"/>
                <w:szCs w:val="18"/>
              </w:rPr>
              <w:t>Religion</w:t>
            </w:r>
          </w:p>
        </w:tc>
        <w:tc>
          <w:tcPr>
            <w:tcW w:w="882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74.0%</w:t>
            </w:r>
          </w:p>
        </w:tc>
        <w:tc>
          <w:tcPr>
            <w:tcW w:w="628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49.5%</w:t>
            </w:r>
          </w:p>
        </w:tc>
        <w:tc>
          <w:tcPr>
            <w:tcW w:w="1237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1.5%</w:t>
            </w:r>
          </w:p>
        </w:tc>
        <w:tc>
          <w:tcPr>
            <w:tcW w:w="1016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 Light"/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0.5%</w:t>
            </w:r>
          </w:p>
        </w:tc>
      </w:tr>
    </w:tbl>
    <w:p w:rsidR="008B3AB7" w:rsidRPr="00254126" w:rsidRDefault="008B3AB7" w:rsidP="008B3AB7">
      <w:pPr>
        <w:pStyle w:val="Heading1"/>
        <w:spacing w:before="240"/>
      </w:pPr>
      <w:r w:rsidRPr="00254126">
        <w:t>Support generation by number of paid staff</w:t>
      </w:r>
    </w:p>
    <w:p w:rsidR="008B3AB7" w:rsidRPr="00254126" w:rsidRDefault="008B3AB7" w:rsidP="008B3AB7">
      <w:r w:rsidRPr="00254126">
        <w:t>Having at least one paid staff member increased the likelihood of having a social enterprise or being involved in partnerships.</w:t>
      </w:r>
    </w:p>
    <w:p w:rsidR="008B3AB7" w:rsidRPr="00DD5E6D" w:rsidRDefault="008B3AB7" w:rsidP="008B3AB7">
      <w:pPr>
        <w:pStyle w:val="GivingReportTableTitle"/>
        <w:rPr>
          <w:b w:val="0"/>
        </w:rPr>
      </w:pPr>
      <w:r w:rsidRPr="00DD5E6D">
        <w:rPr>
          <w:b w:val="0"/>
        </w:rPr>
        <w:t>Table 3: Support generation by number of paid staff</w:t>
      </w:r>
    </w:p>
    <w:tbl>
      <w:tblPr>
        <w:tblStyle w:val="ListTable6Colorful-Accent11"/>
        <w:tblW w:w="5000" w:type="pct"/>
        <w:tblLook w:val="04A0" w:firstRow="1" w:lastRow="0" w:firstColumn="1" w:lastColumn="0" w:noHBand="0" w:noVBand="1"/>
        <w:tblCaption w:val="Table 3: Support generation by number of paid staff"/>
      </w:tblPr>
      <w:tblGrid>
        <w:gridCol w:w="2028"/>
        <w:gridCol w:w="1792"/>
        <w:gridCol w:w="2385"/>
        <w:gridCol w:w="1911"/>
        <w:gridCol w:w="1964"/>
      </w:tblGrid>
      <w:tr w:rsidR="008B3AB7" w:rsidRPr="00254126" w:rsidTr="00934A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spacing w:after="0"/>
              <w:rPr>
                <w:rFonts w:eastAsia="Times New Roman"/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Number of paid staff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Fundraising</w:t>
            </w:r>
          </w:p>
        </w:tc>
        <w:tc>
          <w:tcPr>
            <w:tcW w:w="1183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Volunteer recruitment</w:t>
            </w:r>
          </w:p>
        </w:tc>
        <w:tc>
          <w:tcPr>
            <w:tcW w:w="948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Partnerships</w:t>
            </w:r>
          </w:p>
        </w:tc>
        <w:tc>
          <w:tcPr>
            <w:tcW w:w="975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  <w:sz w:val="18"/>
                <w:szCs w:val="18"/>
              </w:rPr>
            </w:pPr>
            <w:r w:rsidRPr="00254126">
              <w:rPr>
                <w:rFonts w:eastAsia="Times New Roman"/>
                <w:color w:val="auto"/>
                <w:sz w:val="18"/>
                <w:szCs w:val="18"/>
              </w:rPr>
              <w:t>Social enterprise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No paid staff</w:t>
            </w:r>
          </w:p>
        </w:tc>
        <w:tc>
          <w:tcPr>
            <w:tcW w:w="889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58.1%</w:t>
            </w:r>
          </w:p>
        </w:tc>
        <w:tc>
          <w:tcPr>
            <w:tcW w:w="1183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56.1%</w:t>
            </w:r>
          </w:p>
        </w:tc>
        <w:tc>
          <w:tcPr>
            <w:tcW w:w="948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13.7%</w:t>
            </w:r>
          </w:p>
        </w:tc>
        <w:tc>
          <w:tcPr>
            <w:tcW w:w="975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8.3%</w:t>
            </w:r>
          </w:p>
        </w:tc>
      </w:tr>
      <w:tr w:rsidR="008B3AB7" w:rsidRPr="00254126" w:rsidTr="00934A7B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1–19</w:t>
            </w:r>
          </w:p>
        </w:tc>
        <w:tc>
          <w:tcPr>
            <w:tcW w:w="889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59.4%</w:t>
            </w:r>
          </w:p>
        </w:tc>
        <w:tc>
          <w:tcPr>
            <w:tcW w:w="1183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67.8%</w:t>
            </w: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29.1%</w:t>
            </w: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16.7%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20–99</w:t>
            </w:r>
          </w:p>
        </w:tc>
        <w:tc>
          <w:tcPr>
            <w:tcW w:w="889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54.0%</w:t>
            </w:r>
          </w:p>
        </w:tc>
        <w:tc>
          <w:tcPr>
            <w:tcW w:w="1183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71.4%</w:t>
            </w:r>
          </w:p>
        </w:tc>
        <w:tc>
          <w:tcPr>
            <w:tcW w:w="94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25.4%</w:t>
            </w:r>
          </w:p>
        </w:tc>
        <w:tc>
          <w:tcPr>
            <w:tcW w:w="975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20.6%</w:t>
            </w:r>
          </w:p>
        </w:tc>
      </w:tr>
      <w:tr w:rsidR="008B3AB7" w:rsidRPr="00254126" w:rsidTr="00934A7B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100 or more</w:t>
            </w:r>
          </w:p>
        </w:tc>
        <w:tc>
          <w:tcPr>
            <w:tcW w:w="889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65.6%</w:t>
            </w:r>
          </w:p>
        </w:tc>
        <w:tc>
          <w:tcPr>
            <w:tcW w:w="1183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56.3%</w:t>
            </w:r>
          </w:p>
        </w:tc>
        <w:tc>
          <w:tcPr>
            <w:tcW w:w="948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34.4%</w:t>
            </w:r>
          </w:p>
        </w:tc>
        <w:tc>
          <w:tcPr>
            <w:tcW w:w="975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25.0%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Total</w:t>
            </w:r>
          </w:p>
        </w:tc>
        <w:tc>
          <w:tcPr>
            <w:tcW w:w="889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58.6%</w:t>
            </w:r>
          </w:p>
        </w:tc>
        <w:tc>
          <w:tcPr>
            <w:tcW w:w="1183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62.3%</w:t>
            </w:r>
          </w:p>
        </w:tc>
        <w:tc>
          <w:tcPr>
            <w:tcW w:w="948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22.0%</w:t>
            </w:r>
          </w:p>
        </w:tc>
        <w:tc>
          <w:tcPr>
            <w:tcW w:w="975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spacing w:after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rFonts w:eastAsia="Times New Roman" w:cs="Calibri Light"/>
                <w:color w:val="auto"/>
                <w:sz w:val="18"/>
                <w:szCs w:val="18"/>
                <w:lang w:eastAsia="en-AU"/>
              </w:rPr>
              <w:t>13.5%</w:t>
            </w:r>
          </w:p>
        </w:tc>
      </w:tr>
    </w:tbl>
    <w:p w:rsidR="008B3AB7" w:rsidRPr="00254126" w:rsidRDefault="008B3AB7" w:rsidP="008B3AB7">
      <w:pPr>
        <w:spacing w:before="240"/>
      </w:pPr>
      <w:r w:rsidRPr="00254126">
        <w:t>Organisations without paid staff tended to rely on events, membership and sale of goods. Organisations with 100 or more paid staff most commonly used fundraising campaigns, events and regular giving.</w:t>
      </w:r>
    </w:p>
    <w:p w:rsidR="008B3AB7" w:rsidRPr="00F2417E" w:rsidRDefault="008B3AB7" w:rsidP="008B3AB7">
      <w:pPr>
        <w:pStyle w:val="GivingReportTableTitle"/>
        <w:rPr>
          <w:b w:val="0"/>
        </w:rPr>
      </w:pPr>
      <w:r w:rsidRPr="00F2417E">
        <w:rPr>
          <w:b w:val="0"/>
        </w:rPr>
        <w:t>Table 4: Fundraising practices by number of paid staff</w:t>
      </w:r>
    </w:p>
    <w:tbl>
      <w:tblPr>
        <w:tblStyle w:val="ListTable6Colorful-Accent11"/>
        <w:tblW w:w="5000" w:type="pct"/>
        <w:tblLook w:val="04A0" w:firstRow="1" w:lastRow="0" w:firstColumn="1" w:lastColumn="0" w:noHBand="0" w:noVBand="1"/>
        <w:tblCaption w:val="Table 4: Fundraising practices by number of paid staff"/>
      </w:tblPr>
      <w:tblGrid>
        <w:gridCol w:w="3989"/>
        <w:gridCol w:w="1068"/>
        <w:gridCol w:w="1068"/>
        <w:gridCol w:w="1085"/>
        <w:gridCol w:w="1802"/>
        <w:gridCol w:w="1068"/>
      </w:tblGrid>
      <w:tr w:rsidR="008B3AB7" w:rsidRPr="00254126" w:rsidTr="00934A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Practice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No paid staff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1–19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20–99</w:t>
            </w: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100 or more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Total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Regular giving program</w:t>
            </w:r>
          </w:p>
        </w:tc>
        <w:tc>
          <w:tcPr>
            <w:tcW w:w="530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25.6%</w:t>
            </w:r>
          </w:p>
        </w:tc>
        <w:tc>
          <w:tcPr>
            <w:tcW w:w="530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50.3%</w:t>
            </w: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35.3%</w:t>
            </w:r>
          </w:p>
        </w:tc>
        <w:tc>
          <w:tcPr>
            <w:tcW w:w="894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66.7%</w:t>
            </w:r>
          </w:p>
        </w:tc>
        <w:tc>
          <w:tcPr>
            <w:tcW w:w="530" w:type="pct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38.8%</w:t>
            </w:r>
          </w:p>
        </w:tc>
      </w:tr>
      <w:tr w:rsidR="008B3AB7" w:rsidRPr="00254126" w:rsidTr="00934A7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Fundraising campaigns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22.1%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26.6%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50.0%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90.5%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29.3%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Face-to-face appeals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25.5%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25.5%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26.5%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14.3%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25.1%</w:t>
            </w:r>
          </w:p>
        </w:tc>
      </w:tr>
      <w:tr w:rsidR="008B3AB7" w:rsidRPr="00254126" w:rsidTr="00934A7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Corporate appeals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23.5%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27.6%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41.2%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57.1%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28.2%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4F20C3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Nongovernment grant seeking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25.0%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43.2%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55.9%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33.3%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35.5%</w:t>
            </w:r>
          </w:p>
        </w:tc>
      </w:tr>
      <w:tr w:rsidR="008B3AB7" w:rsidRPr="00254126" w:rsidTr="00934A7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Events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54.9%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54.2%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79.4%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71.4%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59.2%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Sale of goods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39.2%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34.4%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41.2%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28.6%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36.8%</w:t>
            </w:r>
          </w:p>
        </w:tc>
      </w:tr>
      <w:tr w:rsidR="008B3AB7" w:rsidRPr="00254126" w:rsidTr="00934A7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Gaming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30.9%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21.4%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38.2%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9.5%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15.5%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>Technology-based appeals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28.9%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35.9%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50.0%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61.9%</w:t>
            </w:r>
          </w:p>
        </w:tc>
        <w:tc>
          <w:tcPr>
            <w:tcW w:w="530" w:type="pct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20.5%</w:t>
            </w:r>
          </w:p>
        </w:tc>
      </w:tr>
      <w:tr w:rsidR="008B3AB7" w:rsidRPr="00254126" w:rsidTr="00934A7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nil"/>
              <w:bottom w:val="nil"/>
            </w:tcBorders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lastRenderedPageBreak/>
              <w:t>Media appeals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10.3%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6.8%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11.8%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14.3%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5.3%</w:t>
            </w:r>
          </w:p>
        </w:tc>
      </w:tr>
      <w:tr w:rsidR="008B3AB7" w:rsidRPr="00254126" w:rsidTr="00934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8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rPr>
                <w:b w:val="0"/>
                <w:color w:val="auto"/>
                <w:sz w:val="18"/>
                <w:szCs w:val="18"/>
              </w:rPr>
            </w:pPr>
            <w:r w:rsidRPr="00254126">
              <w:rPr>
                <w:b w:val="0"/>
                <w:color w:val="auto"/>
                <w:sz w:val="18"/>
                <w:szCs w:val="18"/>
              </w:rPr>
              <w:t xml:space="preserve">Membership </w:t>
            </w:r>
          </w:p>
        </w:tc>
        <w:tc>
          <w:tcPr>
            <w:tcW w:w="530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51.0%</w:t>
            </w:r>
          </w:p>
        </w:tc>
        <w:tc>
          <w:tcPr>
            <w:tcW w:w="530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31.8%</w:t>
            </w:r>
          </w:p>
        </w:tc>
        <w:tc>
          <w:tcPr>
            <w:tcW w:w="538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35.3%</w:t>
            </w:r>
          </w:p>
        </w:tc>
        <w:tc>
          <w:tcPr>
            <w:tcW w:w="894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23.8%</w:t>
            </w:r>
          </w:p>
        </w:tc>
        <w:tc>
          <w:tcPr>
            <w:tcW w:w="530" w:type="pct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AB7" w:rsidRPr="00254126" w:rsidRDefault="008B3AB7" w:rsidP="00934A7B">
            <w:pPr>
              <w:pStyle w:val="GivingReportBulletlevel2"/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254126">
              <w:rPr>
                <w:color w:val="auto"/>
                <w:sz w:val="18"/>
                <w:szCs w:val="18"/>
              </w:rPr>
              <w:t>23.7%</w:t>
            </w:r>
          </w:p>
        </w:tc>
      </w:tr>
    </w:tbl>
    <w:p w:rsidR="008B3AB7" w:rsidRPr="00254126" w:rsidRDefault="008B3AB7" w:rsidP="008B3AB7">
      <w:pPr>
        <w:keepNext/>
        <w:keepLines/>
        <w:spacing w:before="240" w:after="240" w:line="240" w:lineRule="auto"/>
        <w:outlineLvl w:val="0"/>
        <w:rPr>
          <w:rFonts w:ascii="Century Gothic" w:eastAsia="Times New Roman" w:hAnsi="Century Gothic"/>
          <w:bCs/>
          <w:sz w:val="24"/>
          <w:szCs w:val="24"/>
        </w:rPr>
      </w:pPr>
      <w:r w:rsidRPr="00254126">
        <w:rPr>
          <w:rFonts w:ascii="Century Gothic" w:eastAsia="Times New Roman" w:hAnsi="Century Gothic"/>
          <w:bCs/>
          <w:i/>
          <w:sz w:val="24"/>
          <w:szCs w:val="24"/>
        </w:rPr>
        <w:t>Giving Australia 2016</w:t>
      </w:r>
      <w:r w:rsidRPr="00254126">
        <w:rPr>
          <w:rFonts w:ascii="Century Gothic" w:eastAsia="Times New Roman" w:hAnsi="Century Gothic"/>
          <w:bCs/>
          <w:sz w:val="24"/>
          <w:szCs w:val="24"/>
        </w:rPr>
        <w:t xml:space="preserve"> report series</w:t>
      </w:r>
    </w:p>
    <w:p w:rsidR="008B3AB7" w:rsidRPr="00254126" w:rsidRDefault="008B3AB7" w:rsidP="008B3AB7">
      <w:pPr>
        <w:numPr>
          <w:ilvl w:val="0"/>
          <w:numId w:val="15"/>
        </w:numPr>
        <w:spacing w:after="0" w:line="240" w:lineRule="auto"/>
        <w:ind w:left="470" w:hanging="357"/>
        <w:contextualSpacing/>
        <w:rPr>
          <w:i/>
          <w:sz w:val="20"/>
          <w:szCs w:val="20"/>
        </w:rPr>
      </w:pPr>
      <w:r w:rsidRPr="00254126">
        <w:rPr>
          <w:i/>
          <w:sz w:val="20"/>
          <w:szCs w:val="20"/>
        </w:rPr>
        <w:t>Giving Australia 2016: a summary</w:t>
      </w:r>
    </w:p>
    <w:p w:rsidR="008B3AB7" w:rsidRPr="00254126" w:rsidRDefault="008B3AB7" w:rsidP="008B3AB7">
      <w:pPr>
        <w:numPr>
          <w:ilvl w:val="0"/>
          <w:numId w:val="15"/>
        </w:numPr>
        <w:spacing w:after="0" w:line="240" w:lineRule="auto"/>
        <w:ind w:left="470" w:hanging="357"/>
        <w:contextualSpacing/>
        <w:rPr>
          <w:i/>
          <w:sz w:val="20"/>
          <w:szCs w:val="20"/>
        </w:rPr>
      </w:pPr>
      <w:r w:rsidRPr="00254126">
        <w:rPr>
          <w:i/>
          <w:sz w:val="20"/>
          <w:szCs w:val="20"/>
        </w:rPr>
        <w:t>Philanthropy and philanthropists</w:t>
      </w:r>
    </w:p>
    <w:p w:rsidR="008B3AB7" w:rsidRPr="00254126" w:rsidRDefault="008B3AB7" w:rsidP="008B3AB7">
      <w:pPr>
        <w:numPr>
          <w:ilvl w:val="0"/>
          <w:numId w:val="15"/>
        </w:numPr>
        <w:spacing w:after="0" w:line="240" w:lineRule="auto"/>
        <w:ind w:left="470" w:hanging="357"/>
        <w:contextualSpacing/>
        <w:rPr>
          <w:i/>
          <w:sz w:val="20"/>
          <w:szCs w:val="20"/>
        </w:rPr>
      </w:pPr>
      <w:r w:rsidRPr="00254126">
        <w:rPr>
          <w:i/>
          <w:sz w:val="20"/>
          <w:szCs w:val="20"/>
        </w:rPr>
        <w:t xml:space="preserve">Giving and volunteering – the </w:t>
      </w:r>
      <w:proofErr w:type="spellStart"/>
      <w:r w:rsidRPr="00254126">
        <w:rPr>
          <w:i/>
          <w:sz w:val="20"/>
          <w:szCs w:val="20"/>
        </w:rPr>
        <w:t>nonprofit</w:t>
      </w:r>
      <w:proofErr w:type="spellEnd"/>
      <w:r w:rsidRPr="00254126">
        <w:rPr>
          <w:i/>
          <w:sz w:val="20"/>
          <w:szCs w:val="20"/>
        </w:rPr>
        <w:t xml:space="preserve"> perspective</w:t>
      </w:r>
    </w:p>
    <w:p w:rsidR="008B3AB7" w:rsidRPr="00254126" w:rsidRDefault="008B3AB7" w:rsidP="008B3AB7">
      <w:pPr>
        <w:numPr>
          <w:ilvl w:val="0"/>
          <w:numId w:val="15"/>
        </w:numPr>
        <w:spacing w:after="0" w:line="240" w:lineRule="auto"/>
        <w:ind w:left="470" w:hanging="357"/>
        <w:contextualSpacing/>
        <w:rPr>
          <w:i/>
          <w:sz w:val="20"/>
          <w:szCs w:val="20"/>
        </w:rPr>
      </w:pPr>
      <w:r w:rsidRPr="00254126">
        <w:rPr>
          <w:i/>
          <w:sz w:val="20"/>
          <w:szCs w:val="20"/>
        </w:rPr>
        <w:t xml:space="preserve">Business giving and volunteering </w:t>
      </w:r>
    </w:p>
    <w:p w:rsidR="008B3AB7" w:rsidRPr="00254126" w:rsidRDefault="008B3AB7" w:rsidP="008B3AB7">
      <w:pPr>
        <w:numPr>
          <w:ilvl w:val="0"/>
          <w:numId w:val="15"/>
        </w:numPr>
        <w:spacing w:after="0" w:line="240" w:lineRule="auto"/>
        <w:ind w:left="470" w:hanging="357"/>
        <w:contextualSpacing/>
        <w:rPr>
          <w:i/>
          <w:sz w:val="20"/>
          <w:szCs w:val="20"/>
        </w:rPr>
      </w:pPr>
      <w:r w:rsidRPr="00254126">
        <w:rPr>
          <w:i/>
          <w:sz w:val="20"/>
          <w:szCs w:val="20"/>
        </w:rPr>
        <w:t>Individual giving and volunteering</w:t>
      </w:r>
    </w:p>
    <w:p w:rsidR="008B3AB7" w:rsidRPr="00254126" w:rsidRDefault="008B3AB7" w:rsidP="008B3AB7">
      <w:pPr>
        <w:numPr>
          <w:ilvl w:val="0"/>
          <w:numId w:val="15"/>
        </w:numPr>
        <w:spacing w:after="0" w:line="240" w:lineRule="auto"/>
        <w:ind w:left="470" w:hanging="357"/>
        <w:contextualSpacing/>
        <w:rPr>
          <w:i/>
          <w:sz w:val="20"/>
          <w:szCs w:val="20"/>
        </w:rPr>
      </w:pPr>
      <w:r w:rsidRPr="00254126">
        <w:rPr>
          <w:i/>
          <w:sz w:val="20"/>
          <w:szCs w:val="20"/>
        </w:rPr>
        <w:t>Giving Australia 2016 Literature review summary report</w:t>
      </w:r>
    </w:p>
    <w:p w:rsidR="008B3AB7" w:rsidRPr="00254126" w:rsidRDefault="008B3AB7" w:rsidP="008B3AB7">
      <w:pPr>
        <w:numPr>
          <w:ilvl w:val="0"/>
          <w:numId w:val="15"/>
        </w:numPr>
        <w:spacing w:after="0" w:line="240" w:lineRule="auto"/>
        <w:ind w:left="470" w:hanging="357"/>
        <w:contextualSpacing/>
        <w:rPr>
          <w:i/>
          <w:sz w:val="20"/>
          <w:szCs w:val="20"/>
        </w:rPr>
      </w:pPr>
      <w:r w:rsidRPr="00254126">
        <w:rPr>
          <w:i/>
          <w:sz w:val="20"/>
          <w:szCs w:val="20"/>
        </w:rPr>
        <w:t>Giving Australia 2016 Literature review</w:t>
      </w:r>
    </w:p>
    <w:p w:rsidR="008B3AB7" w:rsidRPr="00254126" w:rsidRDefault="008B3AB7" w:rsidP="008B3AB7">
      <w:pPr>
        <w:keepNext/>
        <w:keepLines/>
        <w:spacing w:before="240" w:after="0" w:line="240" w:lineRule="auto"/>
        <w:outlineLvl w:val="0"/>
        <w:rPr>
          <w:rFonts w:ascii="Century Gothic" w:eastAsia="Times New Roman" w:hAnsi="Century Gothic"/>
          <w:bCs/>
          <w:sz w:val="24"/>
          <w:szCs w:val="24"/>
        </w:rPr>
      </w:pPr>
      <w:r w:rsidRPr="00254126">
        <w:rPr>
          <w:rFonts w:ascii="Century Gothic" w:eastAsia="Times New Roman" w:hAnsi="Century Gothic"/>
          <w:bCs/>
          <w:sz w:val="24"/>
          <w:szCs w:val="24"/>
        </w:rPr>
        <w:t>For more information:</w:t>
      </w:r>
    </w:p>
    <w:p w:rsidR="008B3AB7" w:rsidRPr="00254126" w:rsidRDefault="00696D5D" w:rsidP="008B3AB7">
      <w:pPr>
        <w:spacing w:before="120" w:after="0" w:line="240" w:lineRule="auto"/>
        <w:rPr>
          <w:sz w:val="20"/>
          <w:szCs w:val="20"/>
        </w:rPr>
      </w:pPr>
      <w:hyperlink r:id="rId11" w:history="1">
        <w:r w:rsidR="008B3AB7" w:rsidRPr="00254126">
          <w:rPr>
            <w:sz w:val="20"/>
            <w:szCs w:val="20"/>
            <w:u w:val="single"/>
          </w:rPr>
          <w:t xml:space="preserve">The Australian Centre for Philanthropy and </w:t>
        </w:r>
        <w:proofErr w:type="spellStart"/>
        <w:r w:rsidR="008B3AB7" w:rsidRPr="00254126">
          <w:rPr>
            <w:sz w:val="20"/>
            <w:szCs w:val="20"/>
            <w:u w:val="single"/>
          </w:rPr>
          <w:t>Nonprofit</w:t>
        </w:r>
        <w:proofErr w:type="spellEnd"/>
        <w:r w:rsidR="008B3AB7" w:rsidRPr="00254126">
          <w:rPr>
            <w:sz w:val="20"/>
            <w:szCs w:val="20"/>
            <w:u w:val="single"/>
          </w:rPr>
          <w:t xml:space="preserve"> Studies</w:t>
        </w:r>
      </w:hyperlink>
    </w:p>
    <w:p w:rsidR="008B3AB7" w:rsidRPr="00254126" w:rsidRDefault="008B3AB7" w:rsidP="008B3AB7">
      <w:pPr>
        <w:spacing w:after="0" w:line="240" w:lineRule="auto"/>
        <w:rPr>
          <w:sz w:val="20"/>
          <w:szCs w:val="20"/>
        </w:rPr>
      </w:pPr>
      <w:r w:rsidRPr="00254126">
        <w:rPr>
          <w:sz w:val="20"/>
          <w:szCs w:val="20"/>
        </w:rPr>
        <w:t>QUT | 07 3138 1020</w:t>
      </w:r>
    </w:p>
    <w:p w:rsidR="008B3AB7" w:rsidRPr="00254126" w:rsidRDefault="00696D5D" w:rsidP="008B3AB7">
      <w:pPr>
        <w:spacing w:before="120" w:after="0" w:line="240" w:lineRule="auto"/>
        <w:rPr>
          <w:sz w:val="20"/>
          <w:szCs w:val="20"/>
        </w:rPr>
      </w:pPr>
      <w:hyperlink r:id="rId12" w:history="1">
        <w:r w:rsidR="008B3AB7" w:rsidRPr="00254126">
          <w:rPr>
            <w:sz w:val="20"/>
            <w:szCs w:val="20"/>
            <w:u w:val="single"/>
          </w:rPr>
          <w:t>Centre for Social Impact Swinburne</w:t>
        </w:r>
      </w:hyperlink>
      <w:r w:rsidR="008B3AB7" w:rsidRPr="00254126">
        <w:rPr>
          <w:sz w:val="20"/>
          <w:szCs w:val="20"/>
        </w:rPr>
        <w:t xml:space="preserve"> </w:t>
      </w:r>
    </w:p>
    <w:p w:rsidR="008B3AB7" w:rsidRPr="00254126" w:rsidRDefault="008B3AB7" w:rsidP="008B3AB7">
      <w:pPr>
        <w:spacing w:after="0" w:line="240" w:lineRule="auto"/>
        <w:rPr>
          <w:sz w:val="20"/>
          <w:szCs w:val="20"/>
        </w:rPr>
      </w:pPr>
      <w:r w:rsidRPr="00254126">
        <w:rPr>
          <w:sz w:val="20"/>
          <w:szCs w:val="20"/>
        </w:rPr>
        <w:t>Swinburne University of Technology | 03 9214 8000</w:t>
      </w:r>
    </w:p>
    <w:p w:rsidR="008B3AB7" w:rsidRPr="00254126" w:rsidRDefault="00696D5D" w:rsidP="008B3AB7">
      <w:pPr>
        <w:spacing w:before="120" w:after="0" w:line="240" w:lineRule="auto"/>
        <w:rPr>
          <w:sz w:val="20"/>
          <w:szCs w:val="20"/>
        </w:rPr>
      </w:pPr>
      <w:hyperlink r:id="rId13" w:history="1">
        <w:r w:rsidR="008B3AB7" w:rsidRPr="00254126">
          <w:rPr>
            <w:sz w:val="20"/>
            <w:szCs w:val="20"/>
            <w:u w:val="single"/>
          </w:rPr>
          <w:t>Centre for Corporate Public Affairs</w:t>
        </w:r>
      </w:hyperlink>
      <w:r w:rsidR="008B3AB7" w:rsidRPr="00254126">
        <w:rPr>
          <w:sz w:val="20"/>
          <w:szCs w:val="20"/>
        </w:rPr>
        <w:t xml:space="preserve"> | 02 8272 5101</w:t>
      </w:r>
    </w:p>
    <w:p w:rsidR="008B3AB7" w:rsidRPr="00254126" w:rsidRDefault="008B3AB7" w:rsidP="008B3AB7">
      <w:pPr>
        <w:spacing w:before="240" w:after="0"/>
        <w:jc w:val="center"/>
      </w:pPr>
      <w:r w:rsidRPr="00254126">
        <w:t xml:space="preserve">Funded by the Australian Government Department of Social Services. Go to </w:t>
      </w:r>
      <w:hyperlink r:id="rId14" w:tooltip="www.dss.gov.au" w:history="1">
        <w:r w:rsidRPr="00254126">
          <w:rPr>
            <w:bCs/>
          </w:rPr>
          <w:t>www.dss.gov.au</w:t>
        </w:r>
      </w:hyperlink>
      <w:r w:rsidRPr="00254126">
        <w:t xml:space="preserve"> for more information.</w:t>
      </w:r>
    </w:p>
    <w:p w:rsidR="008B3AB7" w:rsidRPr="00254126" w:rsidRDefault="008B3AB7" w:rsidP="00317A47">
      <w:pPr>
        <w:spacing w:before="480"/>
        <w:rPr>
          <w:rFonts w:ascii="Century Gothic" w:hAnsi="Century Gothic"/>
        </w:rPr>
      </w:pPr>
      <w:r w:rsidRPr="00254126">
        <w:rPr>
          <w:rFonts w:ascii="Century Gothic" w:hAnsi="Century Gothic"/>
          <w:noProof/>
          <w:lang w:val="en-US"/>
        </w:rPr>
        <w:drawing>
          <wp:inline distT="0" distB="0" distL="0" distR="0" wp14:anchorId="697BD2C1" wp14:editId="4E5112E0">
            <wp:extent cx="5980176" cy="1035782"/>
            <wp:effectExtent l="0" t="0" r="1905" b="0"/>
            <wp:docPr id="31" name="Picture 31" descr="This image is a collection of logos for organisations that were involved in producing or supporting Giving Australia 2016.  Logos include: The Australian Centre for Philanthropy and Nonprofit Studies, Queensland University of Technology; The Centre for Corporate Public Affairs; The Centre for Social Impact - Swunburne University of Technology; Fundraising Institute Australia; Foundation for Rural and Regional Renewal; Philanthropy Australia; and Volunteering Australia." title="Footer image - organis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sun255\Shared\HARENDRA\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176" cy="103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B3AB7" w:rsidRPr="00254126" w:rsidSect="00EE5B6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701" w:right="1021" w:bottom="851" w:left="1021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D5D" w:rsidRDefault="00696D5D" w:rsidP="006423B4">
      <w:pPr>
        <w:spacing w:after="0" w:line="240" w:lineRule="auto"/>
      </w:pPr>
      <w:r>
        <w:separator/>
      </w:r>
    </w:p>
  </w:endnote>
  <w:endnote w:type="continuationSeparator" w:id="0">
    <w:p w:rsidR="00696D5D" w:rsidRDefault="00696D5D" w:rsidP="00642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94" w:rsidRDefault="007471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94" w:rsidRDefault="007471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11C" w:rsidRPr="001B711C" w:rsidRDefault="001B711C" w:rsidP="001B71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D5D" w:rsidRDefault="00696D5D" w:rsidP="006423B4">
      <w:pPr>
        <w:spacing w:after="0" w:line="240" w:lineRule="auto"/>
      </w:pPr>
      <w:r>
        <w:separator/>
      </w:r>
    </w:p>
  </w:footnote>
  <w:footnote w:type="continuationSeparator" w:id="0">
    <w:p w:rsidR="00696D5D" w:rsidRDefault="00696D5D" w:rsidP="00642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B65" w:rsidRDefault="00FD6C17" w:rsidP="00EE5B65">
    <w:pPr>
      <w:pStyle w:val="Header"/>
      <w:ind w:left="-1008"/>
    </w:pPr>
    <w:r>
      <w:rPr>
        <w:noProof/>
        <w:lang w:val="en-US"/>
      </w:rPr>
      <w:drawing>
        <wp:inline distT="0" distB="0" distL="0" distR="0">
          <wp:extent cx="7982712" cy="1003121"/>
          <wp:effectExtent l="0" t="0" r="0" b="6985"/>
          <wp:docPr id="1" name="Picture 1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un255\Shared\HARENDRA\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2712" cy="1003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D5C" w:rsidRDefault="00FD6C17" w:rsidP="00C76155">
    <w:pPr>
      <w:pStyle w:val="Header"/>
      <w:tabs>
        <w:tab w:val="clear" w:pos="4513"/>
        <w:tab w:val="clear" w:pos="9026"/>
        <w:tab w:val="left" w:pos="2730"/>
      </w:tabs>
      <w:ind w:left="-1008"/>
    </w:pPr>
    <w:r>
      <w:rPr>
        <w:noProof/>
        <w:lang w:val="en-US"/>
      </w:rPr>
      <w:drawing>
        <wp:inline distT="0" distB="0" distL="0" distR="0" wp14:anchorId="3A5FF827" wp14:editId="0EBFCD28">
          <wp:extent cx="7982712" cy="2610080"/>
          <wp:effectExtent l="0" t="0" r="0" b="0"/>
          <wp:docPr id="29" name="Picture 29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un255\Shared\HARENDRA\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2712" cy="261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94" w:rsidRDefault="00A71C44" w:rsidP="00A71C44">
    <w:pPr>
      <w:pStyle w:val="Header"/>
      <w:ind w:left="-1008"/>
    </w:pPr>
    <w:r>
      <w:rPr>
        <w:noProof/>
        <w:lang w:val="en-US"/>
      </w:rPr>
      <w:drawing>
        <wp:inline distT="0" distB="0" distL="0" distR="0" wp14:anchorId="36203CDC" wp14:editId="0DCB99DE">
          <wp:extent cx="7982712" cy="1002681"/>
          <wp:effectExtent l="0" t="0" r="0" b="6985"/>
          <wp:docPr id="2" name="Picture 2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un255\Shared\HARENDRA\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2712" cy="1002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194" w:rsidRDefault="0074719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11C" w:rsidRDefault="00FD6C17" w:rsidP="00990559">
    <w:pPr>
      <w:pStyle w:val="Header"/>
      <w:ind w:left="-1008"/>
    </w:pPr>
    <w:r>
      <w:rPr>
        <w:noProof/>
        <w:lang w:val="en-US"/>
      </w:rPr>
      <w:drawing>
        <wp:inline distT="0" distB="0" distL="0" distR="0">
          <wp:extent cx="7982712" cy="1003121"/>
          <wp:effectExtent l="0" t="0" r="0" b="6985"/>
          <wp:docPr id="3" name="Picture 3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un255\Shared\HARENDRA\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2712" cy="1003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E2EC6"/>
    <w:multiLevelType w:val="hybridMultilevel"/>
    <w:tmpl w:val="2E54B96A"/>
    <w:lvl w:ilvl="0" w:tplc="B0FAFF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5ECCF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96ABB"/>
    <w:multiLevelType w:val="hybridMultilevel"/>
    <w:tmpl w:val="BD34E40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5ECCF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441AA"/>
    <w:multiLevelType w:val="hybridMultilevel"/>
    <w:tmpl w:val="5ABA17D8"/>
    <w:lvl w:ilvl="0" w:tplc="151C4AD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E5B8B7" w:themeColor="accent2" w:themeTint="66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7A350D"/>
    <w:multiLevelType w:val="hybridMultilevel"/>
    <w:tmpl w:val="FA54F64C"/>
    <w:lvl w:ilvl="0" w:tplc="B0FAFF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5ECCF3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05AA2"/>
    <w:multiLevelType w:val="hybridMultilevel"/>
    <w:tmpl w:val="2AE2AD46"/>
    <w:lvl w:ilvl="0" w:tplc="EA6E29A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0C746F"/>
    <w:multiLevelType w:val="hybridMultilevel"/>
    <w:tmpl w:val="1D34B134"/>
    <w:lvl w:ilvl="0" w:tplc="6032C86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F60FD"/>
    <w:multiLevelType w:val="hybridMultilevel"/>
    <w:tmpl w:val="3408A066"/>
    <w:lvl w:ilvl="0" w:tplc="04090009">
      <w:start w:val="1"/>
      <w:numFmt w:val="bullet"/>
      <w:lvlText w:val="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4C5E64B9"/>
    <w:multiLevelType w:val="hybridMultilevel"/>
    <w:tmpl w:val="BAC23CB2"/>
    <w:lvl w:ilvl="0" w:tplc="D932D9F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F81BD" w:themeColor="accent1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5705DF"/>
    <w:multiLevelType w:val="hybridMultilevel"/>
    <w:tmpl w:val="BA8C3A80"/>
    <w:lvl w:ilvl="0" w:tplc="2C0AE36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595959"/>
      </w:rPr>
    </w:lvl>
    <w:lvl w:ilvl="1" w:tplc="FF50323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9DE1CF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887101"/>
    <w:multiLevelType w:val="hybridMultilevel"/>
    <w:tmpl w:val="00449CDC"/>
    <w:lvl w:ilvl="0" w:tplc="B0FAFF0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5ECCF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97C8F"/>
    <w:multiLevelType w:val="hybridMultilevel"/>
    <w:tmpl w:val="7BE8EE14"/>
    <w:lvl w:ilvl="0" w:tplc="B0FAFF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5ECCF3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400583"/>
    <w:multiLevelType w:val="hybridMultilevel"/>
    <w:tmpl w:val="5BD0B638"/>
    <w:lvl w:ilvl="0" w:tplc="DE2E27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BACC6" w:themeColor="accent5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8A3F63"/>
    <w:multiLevelType w:val="hybridMultilevel"/>
    <w:tmpl w:val="F5D2158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3"/>
  </w:num>
  <w:num w:numId="5">
    <w:abstractNumId w:val="10"/>
  </w:num>
  <w:num w:numId="6">
    <w:abstractNumId w:val="5"/>
  </w:num>
  <w:num w:numId="7">
    <w:abstractNumId w:val="2"/>
  </w:num>
  <w:num w:numId="8">
    <w:abstractNumId w:val="7"/>
  </w:num>
  <w:num w:numId="9">
    <w:abstractNumId w:val="11"/>
  </w:num>
  <w:num w:numId="10">
    <w:abstractNumId w:val="9"/>
  </w:num>
  <w:num w:numId="11">
    <w:abstractNumId w:val="0"/>
  </w:num>
  <w:num w:numId="12">
    <w:abstractNumId w:val="1"/>
  </w:num>
  <w:num w:numId="13">
    <w:abstractNumId w:val="12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ListTable6Colorful-Accent21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5dfe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YyNDEyMzW0NLAwMjdQ0lEKTi0uzszPAykwMqgFAI4Vp2ItAAAA"/>
  </w:docVars>
  <w:rsids>
    <w:rsidRoot w:val="006423B4"/>
    <w:rsid w:val="000057B5"/>
    <w:rsid w:val="000260F2"/>
    <w:rsid w:val="00051B28"/>
    <w:rsid w:val="00061248"/>
    <w:rsid w:val="00066B83"/>
    <w:rsid w:val="00070DD7"/>
    <w:rsid w:val="00073E4B"/>
    <w:rsid w:val="00086D8F"/>
    <w:rsid w:val="00093E90"/>
    <w:rsid w:val="000A5120"/>
    <w:rsid w:val="000B0BFF"/>
    <w:rsid w:val="000B7668"/>
    <w:rsid w:val="000C18E8"/>
    <w:rsid w:val="000C4283"/>
    <w:rsid w:val="000D1AD6"/>
    <w:rsid w:val="000E03F8"/>
    <w:rsid w:val="000E07C8"/>
    <w:rsid w:val="000E58AC"/>
    <w:rsid w:val="000F38B5"/>
    <w:rsid w:val="0014093D"/>
    <w:rsid w:val="0014234F"/>
    <w:rsid w:val="001612BA"/>
    <w:rsid w:val="00163F51"/>
    <w:rsid w:val="00166811"/>
    <w:rsid w:val="001A59B1"/>
    <w:rsid w:val="001B711C"/>
    <w:rsid w:val="001D1EE9"/>
    <w:rsid w:val="001D5DBE"/>
    <w:rsid w:val="001E24DC"/>
    <w:rsid w:val="001E35C2"/>
    <w:rsid w:val="001F2422"/>
    <w:rsid w:val="001F265A"/>
    <w:rsid w:val="00205EBD"/>
    <w:rsid w:val="00212B31"/>
    <w:rsid w:val="00214429"/>
    <w:rsid w:val="002158DF"/>
    <w:rsid w:val="002208D4"/>
    <w:rsid w:val="00225AEE"/>
    <w:rsid w:val="00226535"/>
    <w:rsid w:val="00250A32"/>
    <w:rsid w:val="00270EE4"/>
    <w:rsid w:val="00271ABC"/>
    <w:rsid w:val="00277196"/>
    <w:rsid w:val="00283461"/>
    <w:rsid w:val="002917CF"/>
    <w:rsid w:val="002A5968"/>
    <w:rsid w:val="002C73FD"/>
    <w:rsid w:val="002E05BE"/>
    <w:rsid w:val="002E1226"/>
    <w:rsid w:val="002E2C1C"/>
    <w:rsid w:val="00316642"/>
    <w:rsid w:val="00317A47"/>
    <w:rsid w:val="00324B51"/>
    <w:rsid w:val="00331C84"/>
    <w:rsid w:val="00342960"/>
    <w:rsid w:val="00351C58"/>
    <w:rsid w:val="00382134"/>
    <w:rsid w:val="0038730A"/>
    <w:rsid w:val="003928FE"/>
    <w:rsid w:val="003C686D"/>
    <w:rsid w:val="003D032E"/>
    <w:rsid w:val="003D660F"/>
    <w:rsid w:val="003D6E3A"/>
    <w:rsid w:val="003E6DA7"/>
    <w:rsid w:val="003E6E51"/>
    <w:rsid w:val="00401C7A"/>
    <w:rsid w:val="00404445"/>
    <w:rsid w:val="00404674"/>
    <w:rsid w:val="00422A9E"/>
    <w:rsid w:val="00422E2F"/>
    <w:rsid w:val="004308F4"/>
    <w:rsid w:val="004471B1"/>
    <w:rsid w:val="00447D89"/>
    <w:rsid w:val="00454BA8"/>
    <w:rsid w:val="004623F6"/>
    <w:rsid w:val="004770F8"/>
    <w:rsid w:val="004777E2"/>
    <w:rsid w:val="004A4F40"/>
    <w:rsid w:val="004A5874"/>
    <w:rsid w:val="004A5AAA"/>
    <w:rsid w:val="004A70D3"/>
    <w:rsid w:val="004C5D81"/>
    <w:rsid w:val="004C6855"/>
    <w:rsid w:val="004E5DEA"/>
    <w:rsid w:val="004F20C3"/>
    <w:rsid w:val="00520E50"/>
    <w:rsid w:val="00524C74"/>
    <w:rsid w:val="005303AD"/>
    <w:rsid w:val="00537BCA"/>
    <w:rsid w:val="005544EF"/>
    <w:rsid w:val="00554B2D"/>
    <w:rsid w:val="00560D8D"/>
    <w:rsid w:val="005612AB"/>
    <w:rsid w:val="00565995"/>
    <w:rsid w:val="0058289B"/>
    <w:rsid w:val="00592C3E"/>
    <w:rsid w:val="005C07CA"/>
    <w:rsid w:val="005C2D7F"/>
    <w:rsid w:val="005C2F93"/>
    <w:rsid w:val="005D121E"/>
    <w:rsid w:val="005D1C36"/>
    <w:rsid w:val="005D51C6"/>
    <w:rsid w:val="005D6260"/>
    <w:rsid w:val="005E0DFB"/>
    <w:rsid w:val="005F0E08"/>
    <w:rsid w:val="00621053"/>
    <w:rsid w:val="00634B5D"/>
    <w:rsid w:val="006423B4"/>
    <w:rsid w:val="0064294D"/>
    <w:rsid w:val="006510DA"/>
    <w:rsid w:val="00653191"/>
    <w:rsid w:val="00654955"/>
    <w:rsid w:val="00663271"/>
    <w:rsid w:val="00670CA7"/>
    <w:rsid w:val="006806D1"/>
    <w:rsid w:val="00682F49"/>
    <w:rsid w:val="00696D5D"/>
    <w:rsid w:val="006B3EC2"/>
    <w:rsid w:val="006D3094"/>
    <w:rsid w:val="0070270C"/>
    <w:rsid w:val="007054A5"/>
    <w:rsid w:val="007108F5"/>
    <w:rsid w:val="007109BC"/>
    <w:rsid w:val="0071151A"/>
    <w:rsid w:val="00727A61"/>
    <w:rsid w:val="00736504"/>
    <w:rsid w:val="00741157"/>
    <w:rsid w:val="00747194"/>
    <w:rsid w:val="0076331B"/>
    <w:rsid w:val="007661A9"/>
    <w:rsid w:val="00773CBC"/>
    <w:rsid w:val="00774DF4"/>
    <w:rsid w:val="00776DCE"/>
    <w:rsid w:val="00781E67"/>
    <w:rsid w:val="00782705"/>
    <w:rsid w:val="007906FB"/>
    <w:rsid w:val="007B4E3B"/>
    <w:rsid w:val="007C0F18"/>
    <w:rsid w:val="007C4EFB"/>
    <w:rsid w:val="007D0A60"/>
    <w:rsid w:val="007D4873"/>
    <w:rsid w:val="007D501B"/>
    <w:rsid w:val="008048FF"/>
    <w:rsid w:val="00805C5A"/>
    <w:rsid w:val="00813EEE"/>
    <w:rsid w:val="008170A9"/>
    <w:rsid w:val="00822BA3"/>
    <w:rsid w:val="008371C4"/>
    <w:rsid w:val="00843DC3"/>
    <w:rsid w:val="00845560"/>
    <w:rsid w:val="00850603"/>
    <w:rsid w:val="008557DA"/>
    <w:rsid w:val="00860786"/>
    <w:rsid w:val="00887836"/>
    <w:rsid w:val="008A1EF7"/>
    <w:rsid w:val="008A28A0"/>
    <w:rsid w:val="008A5D14"/>
    <w:rsid w:val="008B3AB7"/>
    <w:rsid w:val="008B6ED3"/>
    <w:rsid w:val="008D26AF"/>
    <w:rsid w:val="008D5F1F"/>
    <w:rsid w:val="008E3212"/>
    <w:rsid w:val="008F6ACE"/>
    <w:rsid w:val="00902BEA"/>
    <w:rsid w:val="00905956"/>
    <w:rsid w:val="00916C0F"/>
    <w:rsid w:val="00917D6E"/>
    <w:rsid w:val="00920004"/>
    <w:rsid w:val="00930363"/>
    <w:rsid w:val="00930443"/>
    <w:rsid w:val="009409E5"/>
    <w:rsid w:val="00945BE5"/>
    <w:rsid w:val="00946831"/>
    <w:rsid w:val="009535E6"/>
    <w:rsid w:val="00971A14"/>
    <w:rsid w:val="00977A9A"/>
    <w:rsid w:val="00990559"/>
    <w:rsid w:val="00997E65"/>
    <w:rsid w:val="009A7F09"/>
    <w:rsid w:val="009B4D71"/>
    <w:rsid w:val="009E7E52"/>
    <w:rsid w:val="009E7ED8"/>
    <w:rsid w:val="009F2B28"/>
    <w:rsid w:val="00A03D9E"/>
    <w:rsid w:val="00A101FB"/>
    <w:rsid w:val="00A25F5D"/>
    <w:rsid w:val="00A33936"/>
    <w:rsid w:val="00A34D03"/>
    <w:rsid w:val="00A414CC"/>
    <w:rsid w:val="00A45981"/>
    <w:rsid w:val="00A477DA"/>
    <w:rsid w:val="00A71C44"/>
    <w:rsid w:val="00A768BE"/>
    <w:rsid w:val="00A80C05"/>
    <w:rsid w:val="00A87943"/>
    <w:rsid w:val="00AA549E"/>
    <w:rsid w:val="00AB087E"/>
    <w:rsid w:val="00AE2FAA"/>
    <w:rsid w:val="00B021A6"/>
    <w:rsid w:val="00B03FFF"/>
    <w:rsid w:val="00B324A7"/>
    <w:rsid w:val="00B401F4"/>
    <w:rsid w:val="00B74F0D"/>
    <w:rsid w:val="00B8100E"/>
    <w:rsid w:val="00B84945"/>
    <w:rsid w:val="00B8577D"/>
    <w:rsid w:val="00BA219D"/>
    <w:rsid w:val="00BB2248"/>
    <w:rsid w:val="00BE1AED"/>
    <w:rsid w:val="00C001B7"/>
    <w:rsid w:val="00C07948"/>
    <w:rsid w:val="00C31E5C"/>
    <w:rsid w:val="00C40C7E"/>
    <w:rsid w:val="00C61D66"/>
    <w:rsid w:val="00C62ECE"/>
    <w:rsid w:val="00C74C90"/>
    <w:rsid w:val="00C76155"/>
    <w:rsid w:val="00C77CA5"/>
    <w:rsid w:val="00C9548C"/>
    <w:rsid w:val="00CA1584"/>
    <w:rsid w:val="00CA54F9"/>
    <w:rsid w:val="00CC3F01"/>
    <w:rsid w:val="00CD2F18"/>
    <w:rsid w:val="00D02777"/>
    <w:rsid w:val="00D05407"/>
    <w:rsid w:val="00D058EB"/>
    <w:rsid w:val="00D1145C"/>
    <w:rsid w:val="00D316D1"/>
    <w:rsid w:val="00D5353C"/>
    <w:rsid w:val="00D60923"/>
    <w:rsid w:val="00D67A45"/>
    <w:rsid w:val="00D711D5"/>
    <w:rsid w:val="00DC18A7"/>
    <w:rsid w:val="00DC4AA4"/>
    <w:rsid w:val="00DC4B9B"/>
    <w:rsid w:val="00DD5E6D"/>
    <w:rsid w:val="00E01A73"/>
    <w:rsid w:val="00E03AA9"/>
    <w:rsid w:val="00E07BF8"/>
    <w:rsid w:val="00E260B6"/>
    <w:rsid w:val="00E33564"/>
    <w:rsid w:val="00E46F64"/>
    <w:rsid w:val="00E563DE"/>
    <w:rsid w:val="00E57F57"/>
    <w:rsid w:val="00E61E4E"/>
    <w:rsid w:val="00E70FA1"/>
    <w:rsid w:val="00E7570B"/>
    <w:rsid w:val="00E77128"/>
    <w:rsid w:val="00E802C0"/>
    <w:rsid w:val="00E82502"/>
    <w:rsid w:val="00E84C17"/>
    <w:rsid w:val="00EA080B"/>
    <w:rsid w:val="00EA651E"/>
    <w:rsid w:val="00EA6E2C"/>
    <w:rsid w:val="00EB130D"/>
    <w:rsid w:val="00ED33C5"/>
    <w:rsid w:val="00ED55A6"/>
    <w:rsid w:val="00ED6E94"/>
    <w:rsid w:val="00EE1F56"/>
    <w:rsid w:val="00EE33A2"/>
    <w:rsid w:val="00EE5B65"/>
    <w:rsid w:val="00F04755"/>
    <w:rsid w:val="00F13EA0"/>
    <w:rsid w:val="00F22174"/>
    <w:rsid w:val="00F2417E"/>
    <w:rsid w:val="00F40B4D"/>
    <w:rsid w:val="00F45957"/>
    <w:rsid w:val="00F47E46"/>
    <w:rsid w:val="00F650C1"/>
    <w:rsid w:val="00F7002F"/>
    <w:rsid w:val="00F851B1"/>
    <w:rsid w:val="00FB2752"/>
    <w:rsid w:val="00FB7C2B"/>
    <w:rsid w:val="00FB7D5C"/>
    <w:rsid w:val="00FC2A28"/>
    <w:rsid w:val="00FD1E88"/>
    <w:rsid w:val="00FD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5dfec"/>
    </o:shapedefaults>
    <o:shapelayout v:ext="edit">
      <o:idmap v:ext="edit" data="1"/>
    </o:shapelayout>
  </w:shapeDefaults>
  <w:decimalSymbol w:val="."/>
  <w:listSeparator w:val=","/>
  <w15:docId w15:val="{8377487E-ADEC-4900-99D7-8419AD00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705"/>
    <w:pPr>
      <w:spacing w:after="200" w:line="276" w:lineRule="auto"/>
    </w:pPr>
    <w:rPr>
      <w:rFonts w:ascii="Calibri Light" w:hAnsi="Calibri Light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2705"/>
    <w:pPr>
      <w:keepNext/>
      <w:keepLines/>
      <w:spacing w:after="120"/>
      <w:outlineLvl w:val="0"/>
    </w:pPr>
    <w:rPr>
      <w:rFonts w:ascii="Century Gothic" w:eastAsia="Times New Roman" w:hAnsi="Century Gothic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4755"/>
    <w:pPr>
      <w:keepNext/>
      <w:keepLines/>
      <w:spacing w:after="0"/>
      <w:outlineLvl w:val="1"/>
    </w:pPr>
    <w:rPr>
      <w:rFonts w:ascii="Century Gothic" w:eastAsia="Times New Roman" w:hAnsi="Century Gothic"/>
      <w:bCs/>
      <w:color w:val="5ECCF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711C"/>
    <w:pPr>
      <w:keepNext/>
      <w:keepLines/>
      <w:spacing w:before="320" w:after="0"/>
      <w:outlineLvl w:val="2"/>
    </w:pPr>
    <w:rPr>
      <w:rFonts w:ascii="Century Gothic" w:eastAsia="Times New Roman" w:hAnsi="Century Gothic"/>
      <w:bCs/>
      <w:color w:val="595959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4093D"/>
    <w:pPr>
      <w:keepNext/>
      <w:keepLines/>
      <w:spacing w:before="200" w:after="0"/>
      <w:outlineLvl w:val="3"/>
    </w:pPr>
    <w:rPr>
      <w:rFonts w:ascii="Century Gothic" w:eastAsia="Times New Roman" w:hAnsi="Century Gothic"/>
      <w:b/>
      <w:bCs/>
      <w:iCs/>
      <w:color w:val="595959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3B4"/>
  </w:style>
  <w:style w:type="paragraph" w:styleId="Footer">
    <w:name w:val="footer"/>
    <w:basedOn w:val="Normal"/>
    <w:link w:val="FooterChar"/>
    <w:uiPriority w:val="99"/>
    <w:unhideWhenUsed/>
    <w:rsid w:val="00642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3B4"/>
  </w:style>
  <w:style w:type="paragraph" w:styleId="BalloonText">
    <w:name w:val="Balloon Text"/>
    <w:basedOn w:val="Normal"/>
    <w:link w:val="BalloonTextChar"/>
    <w:uiPriority w:val="99"/>
    <w:semiHidden/>
    <w:unhideWhenUsed/>
    <w:rsid w:val="00642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23B4"/>
    <w:rPr>
      <w:rFonts w:ascii="Tahoma" w:hAnsi="Tahoma" w:cs="Tahoma"/>
      <w:sz w:val="16"/>
      <w:szCs w:val="16"/>
    </w:rPr>
  </w:style>
  <w:style w:type="paragraph" w:customStyle="1" w:styleId="GivingReportCoverTitle">
    <w:name w:val="Giving Report Cover Title"/>
    <w:basedOn w:val="Normal"/>
    <w:qFormat/>
    <w:rsid w:val="006423B4"/>
    <w:pPr>
      <w:spacing w:after="0"/>
    </w:pPr>
    <w:rPr>
      <w:rFonts w:ascii="Century Gothic" w:hAnsi="Century Gothic"/>
      <w:color w:val="FFFFFF"/>
      <w:sz w:val="56"/>
      <w:szCs w:val="56"/>
    </w:rPr>
  </w:style>
  <w:style w:type="paragraph" w:customStyle="1" w:styleId="GivingReportCoverSubtitle">
    <w:name w:val="Giving Report Cover Subtitle"/>
    <w:basedOn w:val="Normal"/>
    <w:qFormat/>
    <w:rsid w:val="006423B4"/>
    <w:rPr>
      <w:color w:val="FFFFFF"/>
      <w:sz w:val="32"/>
      <w:szCs w:val="32"/>
    </w:rPr>
  </w:style>
  <w:style w:type="paragraph" w:customStyle="1" w:styleId="GivingReportContentsHeading">
    <w:name w:val="Giving Report Contents Heading"/>
    <w:basedOn w:val="GivingFSGenericHeading"/>
    <w:qFormat/>
    <w:rsid w:val="000D1AD6"/>
    <w:pPr>
      <w:spacing w:before="0"/>
    </w:pPr>
    <w:rPr>
      <w:color w:val="00B0F0"/>
      <w:sz w:val="44"/>
    </w:rPr>
  </w:style>
  <w:style w:type="paragraph" w:customStyle="1" w:styleId="GivingFSGenericHeading">
    <w:name w:val="Giving FS Generic Heading"/>
    <w:basedOn w:val="Normal"/>
    <w:qFormat/>
    <w:rsid w:val="00B324A7"/>
    <w:pPr>
      <w:spacing w:before="240" w:after="0"/>
    </w:pPr>
    <w:rPr>
      <w:rFonts w:ascii="Century Gothic" w:hAnsi="Century Gothic"/>
      <w:color w:val="595959"/>
    </w:rPr>
  </w:style>
  <w:style w:type="table" w:styleId="TableGrid">
    <w:name w:val="Table Grid"/>
    <w:basedOn w:val="TableNormal"/>
    <w:uiPriority w:val="59"/>
    <w:rsid w:val="0078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782705"/>
    <w:rPr>
      <w:rFonts w:ascii="Century Gothic" w:eastAsia="Times New Roman" w:hAnsi="Century Gothic"/>
      <w:bCs/>
      <w:sz w:val="28"/>
      <w:szCs w:val="28"/>
      <w:lang w:eastAsia="en-US"/>
    </w:rPr>
  </w:style>
  <w:style w:type="paragraph" w:customStyle="1" w:styleId="GivingReportBulletlevel1">
    <w:name w:val="Giving Report Bullet level 1"/>
    <w:basedOn w:val="Normal"/>
    <w:rsid w:val="00776DCE"/>
    <w:pPr>
      <w:spacing w:after="120"/>
      <w:contextualSpacing/>
    </w:pPr>
  </w:style>
  <w:style w:type="paragraph" w:customStyle="1" w:styleId="GivingReportBulletlevel2">
    <w:name w:val="Giving Report Bullet level 2"/>
    <w:basedOn w:val="GivingReportBulletlevel1"/>
    <w:qFormat/>
    <w:rsid w:val="004E5DEA"/>
  </w:style>
  <w:style w:type="character" w:customStyle="1" w:styleId="Heading4Char">
    <w:name w:val="Heading 4 Char"/>
    <w:link w:val="Heading4"/>
    <w:uiPriority w:val="9"/>
    <w:rsid w:val="0014093D"/>
    <w:rPr>
      <w:rFonts w:ascii="Century Gothic" w:eastAsia="Times New Roman" w:hAnsi="Century Gothic" w:cs="Times New Roman"/>
      <w:b/>
      <w:bCs/>
      <w:iCs/>
      <w:color w:val="595959"/>
      <w:sz w:val="20"/>
    </w:rPr>
  </w:style>
  <w:style w:type="character" w:customStyle="1" w:styleId="Heading2Char">
    <w:name w:val="Heading 2 Char"/>
    <w:link w:val="Heading2"/>
    <w:uiPriority w:val="9"/>
    <w:rsid w:val="00F04755"/>
    <w:rPr>
      <w:rFonts w:ascii="Century Gothic" w:eastAsia="Times New Roman" w:hAnsi="Century Gothic" w:cs="Times New Roman"/>
      <w:bCs/>
      <w:color w:val="5ECCF3"/>
      <w:szCs w:val="26"/>
    </w:rPr>
  </w:style>
  <w:style w:type="character" w:customStyle="1" w:styleId="Heading3Char">
    <w:name w:val="Heading 3 Char"/>
    <w:link w:val="Heading3"/>
    <w:uiPriority w:val="9"/>
    <w:rsid w:val="001B711C"/>
    <w:rPr>
      <w:rFonts w:ascii="Century Gothic" w:eastAsia="Times New Roman" w:hAnsi="Century Gothic" w:cs="Times New Roman"/>
      <w:bCs/>
      <w:color w:val="595959"/>
      <w:sz w:val="28"/>
    </w:rPr>
  </w:style>
  <w:style w:type="table" w:customStyle="1" w:styleId="GivingReportTable">
    <w:name w:val="Giving Report Table"/>
    <w:basedOn w:val="TableNormal"/>
    <w:uiPriority w:val="99"/>
    <w:qFormat/>
    <w:rsid w:val="00776DCE"/>
    <w:tblPr>
      <w:tblStyleRowBandSize w:val="1"/>
      <w:tblBorders>
        <w:insideH w:val="dashSmallGap" w:sz="4" w:space="0" w:color="595959"/>
      </w:tblBorders>
      <w:tblCellMar>
        <w:top w:w="57" w:type="dxa"/>
        <w:bottom w:w="57" w:type="dxa"/>
      </w:tblCellMar>
    </w:tblPr>
    <w:tcPr>
      <w:shd w:val="clear" w:color="auto" w:fill="FFFFFF"/>
    </w:tcPr>
    <w:tblStylePr w:type="firstRow">
      <w:rPr>
        <w:rFonts w:ascii="Calibri Light" w:hAnsi="Calibri Light"/>
        <w:b/>
        <w:color w:val="404040"/>
        <w:sz w:val="18"/>
      </w:rPr>
      <w:tblPr/>
      <w:tcPr>
        <w:tcBorders>
          <w:top w:val="single" w:sz="4" w:space="0" w:color="7030A0"/>
          <w:bottom w:val="nil"/>
          <w:insideH w:val="nil"/>
        </w:tcBorders>
        <w:shd w:val="clear" w:color="auto" w:fill="FFFFFF"/>
      </w:tcPr>
    </w:tblStylePr>
    <w:tblStylePr w:type="lastRow">
      <w:tblPr/>
      <w:tcPr>
        <w:tcBorders>
          <w:bottom w:val="single" w:sz="4" w:space="0" w:color="7030A0"/>
        </w:tcBorders>
      </w:tcPr>
    </w:tblStylePr>
    <w:tblStylePr w:type="band1Horz">
      <w:rPr>
        <w:rFonts w:ascii="Calibri Light" w:hAnsi="Calibri Light"/>
        <w:color w:val="404040"/>
        <w:sz w:val="18"/>
      </w:rPr>
      <w:tblPr/>
      <w:tcPr>
        <w:shd w:val="clear" w:color="auto" w:fill="DEF5EE"/>
      </w:tcPr>
    </w:tblStylePr>
    <w:tblStylePr w:type="band2Horz">
      <w:rPr>
        <w:rFonts w:ascii="Calibri Light" w:hAnsi="Calibri Light"/>
        <w:color w:val="404040"/>
        <w:sz w:val="18"/>
      </w:rPr>
      <w:tblPr/>
      <w:tcPr>
        <w:tcBorders>
          <w:insideH w:val="nil"/>
        </w:tcBorders>
      </w:tcPr>
    </w:tblStylePr>
  </w:style>
  <w:style w:type="paragraph" w:customStyle="1" w:styleId="GivingReportTableTitle">
    <w:name w:val="Giving Report Table Title"/>
    <w:basedOn w:val="Normal"/>
    <w:qFormat/>
    <w:rsid w:val="00782705"/>
    <w:rPr>
      <w:rFonts w:ascii="Century Gothic" w:hAnsi="Century Gothic"/>
      <w:b/>
      <w:sz w:val="18"/>
    </w:rPr>
  </w:style>
  <w:style w:type="paragraph" w:customStyle="1" w:styleId="GivingReportFigureTitle">
    <w:name w:val="Giving Report Figure Title"/>
    <w:basedOn w:val="Normal"/>
    <w:qFormat/>
    <w:rsid w:val="00EA080B"/>
    <w:rPr>
      <w:color w:val="5ECCF3"/>
      <w:sz w:val="20"/>
    </w:rPr>
  </w:style>
  <w:style w:type="paragraph" w:styleId="TOC1">
    <w:name w:val="toc 1"/>
    <w:basedOn w:val="Normal"/>
    <w:next w:val="Normal"/>
    <w:autoRedefine/>
    <w:uiPriority w:val="39"/>
    <w:unhideWhenUsed/>
    <w:rsid w:val="0064294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4294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4294D"/>
    <w:pPr>
      <w:spacing w:after="100"/>
      <w:ind w:left="440"/>
    </w:pPr>
  </w:style>
  <w:style w:type="character" w:styleId="Hyperlink">
    <w:name w:val="Hyperlink"/>
    <w:uiPriority w:val="99"/>
    <w:unhideWhenUsed/>
    <w:rsid w:val="00A87943"/>
    <w:rPr>
      <w:color w:val="auto"/>
      <w:u w:val="single"/>
    </w:rPr>
  </w:style>
  <w:style w:type="table" w:styleId="LightList-Accent1">
    <w:name w:val="Light List Accent 1"/>
    <w:basedOn w:val="TableNormal"/>
    <w:uiPriority w:val="61"/>
    <w:rsid w:val="00BA219D"/>
    <w:rPr>
      <w:rFonts w:eastAsia="Times New Roman"/>
      <w:lang w:val="en-US"/>
    </w:rPr>
    <w:tblPr>
      <w:tblStyleRowBandSize w:val="1"/>
      <w:tblStyleColBandSize w:val="1"/>
      <w:tblBorders>
        <w:top w:val="single" w:sz="8" w:space="0" w:color="4E67C8"/>
        <w:left w:val="single" w:sz="8" w:space="0" w:color="4E67C8"/>
        <w:bottom w:val="single" w:sz="8" w:space="0" w:color="4E67C8"/>
        <w:right w:val="single" w:sz="8" w:space="0" w:color="4E67C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E67C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67C8"/>
          <w:left w:val="single" w:sz="8" w:space="0" w:color="4E67C8"/>
          <w:bottom w:val="single" w:sz="8" w:space="0" w:color="4E67C8"/>
          <w:right w:val="single" w:sz="8" w:space="0" w:color="4E67C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67C8"/>
          <w:left w:val="single" w:sz="8" w:space="0" w:color="4E67C8"/>
          <w:bottom w:val="single" w:sz="8" w:space="0" w:color="4E67C8"/>
          <w:right w:val="single" w:sz="8" w:space="0" w:color="4E67C8"/>
        </w:tcBorders>
      </w:tcPr>
    </w:tblStylePr>
    <w:tblStylePr w:type="band1Horz">
      <w:tblPr/>
      <w:tcPr>
        <w:tcBorders>
          <w:top w:val="single" w:sz="8" w:space="0" w:color="4E67C8"/>
          <w:left w:val="single" w:sz="8" w:space="0" w:color="4E67C8"/>
          <w:bottom w:val="single" w:sz="8" w:space="0" w:color="4E67C8"/>
          <w:right w:val="single" w:sz="8" w:space="0" w:color="4E67C8"/>
        </w:tcBorders>
      </w:tcPr>
    </w:tblStylePr>
  </w:style>
  <w:style w:type="paragraph" w:customStyle="1" w:styleId="FactSheetTitle">
    <w:name w:val="Fact Sheet Title"/>
    <w:basedOn w:val="Normal"/>
    <w:qFormat/>
    <w:rsid w:val="000E07C8"/>
    <w:rPr>
      <w:rFonts w:ascii="Century Gothic" w:hAnsi="Century Gothic"/>
      <w:b/>
      <w:color w:val="FFFFFF"/>
      <w:sz w:val="28"/>
    </w:rPr>
  </w:style>
  <w:style w:type="paragraph" w:styleId="Caption">
    <w:name w:val="caption"/>
    <w:basedOn w:val="Normal"/>
    <w:next w:val="Normal"/>
    <w:uiPriority w:val="35"/>
    <w:unhideWhenUsed/>
    <w:qFormat/>
    <w:rsid w:val="00776DCE"/>
    <w:pPr>
      <w:spacing w:line="240" w:lineRule="auto"/>
    </w:pPr>
    <w:rPr>
      <w:rFonts w:ascii="Calibri" w:hAnsi="Calibri"/>
      <w:b/>
      <w:bCs/>
      <w:color w:val="4E67C8"/>
      <w:sz w:val="18"/>
      <w:szCs w:val="18"/>
    </w:rPr>
  </w:style>
  <w:style w:type="table" w:styleId="MediumShading1-Accent1">
    <w:name w:val="Medium Shading 1 Accent 1"/>
    <w:basedOn w:val="TableNormal"/>
    <w:uiPriority w:val="63"/>
    <w:rsid w:val="00B324A7"/>
    <w:rPr>
      <w:lang w:val="en-US"/>
    </w:rPr>
    <w:tblPr>
      <w:tblStyleRowBandSize w:val="1"/>
      <w:tblStyleColBandSize w:val="1"/>
      <w:tblBorders>
        <w:top w:val="single" w:sz="8" w:space="0" w:color="7A8CD5"/>
        <w:left w:val="single" w:sz="8" w:space="0" w:color="7A8CD5"/>
        <w:bottom w:val="single" w:sz="8" w:space="0" w:color="7A8CD5"/>
        <w:right w:val="single" w:sz="8" w:space="0" w:color="7A8CD5"/>
        <w:insideH w:val="single" w:sz="8" w:space="0" w:color="7A8C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A8CD5"/>
          <w:left w:val="single" w:sz="8" w:space="0" w:color="7A8CD5"/>
          <w:bottom w:val="single" w:sz="8" w:space="0" w:color="7A8CD5"/>
          <w:right w:val="single" w:sz="8" w:space="0" w:color="7A8CD5"/>
          <w:insideH w:val="nil"/>
          <w:insideV w:val="nil"/>
        </w:tcBorders>
        <w:shd w:val="clear" w:color="auto" w:fill="4E67C8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A8CD5"/>
          <w:left w:val="single" w:sz="8" w:space="0" w:color="7A8CD5"/>
          <w:bottom w:val="single" w:sz="8" w:space="0" w:color="7A8CD5"/>
          <w:right w:val="single" w:sz="8" w:space="0" w:color="7A8C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9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9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ivingFSFooter">
    <w:name w:val="Giving FS Footer"/>
    <w:basedOn w:val="Normal"/>
    <w:qFormat/>
    <w:rsid w:val="00F04755"/>
    <w:rPr>
      <w:rFonts w:ascii="Century Gothic" w:hAnsi="Century Gothic"/>
      <w:color w:val="5ECCF3"/>
      <w:sz w:val="16"/>
    </w:rPr>
  </w:style>
  <w:style w:type="table" w:customStyle="1" w:styleId="ListTable6Colorful-Accent21">
    <w:name w:val="List Table 6 Colorful - Accent 21"/>
    <w:basedOn w:val="TableNormal"/>
    <w:uiPriority w:val="51"/>
    <w:rsid w:val="00F04755"/>
    <w:rPr>
      <w:color w:val="11B1EA"/>
    </w:rPr>
    <w:tblPr>
      <w:tblStyleRowBandSize w:val="1"/>
      <w:tblStyleColBandSize w:val="1"/>
      <w:tblBorders>
        <w:top w:val="single" w:sz="4" w:space="0" w:color="5ECCF3"/>
        <w:bottom w:val="single" w:sz="4" w:space="0" w:color="5ECCF3"/>
      </w:tblBorders>
    </w:tblPr>
    <w:tblStylePr w:type="firstRow">
      <w:rPr>
        <w:b/>
        <w:bCs/>
      </w:rPr>
      <w:tblPr/>
      <w:tcPr>
        <w:tcBorders>
          <w:bottom w:val="single" w:sz="4" w:space="0" w:color="5ECCF3"/>
        </w:tcBorders>
      </w:tcPr>
    </w:tblStylePr>
    <w:tblStylePr w:type="lastRow">
      <w:rPr>
        <w:b/>
        <w:bCs/>
      </w:rPr>
      <w:tblPr/>
      <w:tcPr>
        <w:tcBorders>
          <w:top w:val="double" w:sz="4" w:space="0" w:color="5ECC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FC"/>
      </w:tcPr>
    </w:tblStylePr>
    <w:tblStylePr w:type="band1Horz">
      <w:tblPr/>
      <w:tcPr>
        <w:shd w:val="clear" w:color="auto" w:fill="DEF4FC"/>
      </w:tcPr>
    </w:tblStylePr>
  </w:style>
  <w:style w:type="paragraph" w:customStyle="1" w:styleId="GivingReportGenericHeading">
    <w:name w:val="Giving Report Generic Heading"/>
    <w:basedOn w:val="Normal"/>
    <w:qFormat/>
    <w:rsid w:val="00F04755"/>
    <w:pPr>
      <w:spacing w:before="240" w:after="120"/>
    </w:pPr>
    <w:rPr>
      <w:rFonts w:ascii="Century Gothic" w:hAnsi="Century Gothic"/>
      <w:color w:val="595959"/>
    </w:rPr>
  </w:style>
  <w:style w:type="table" w:styleId="MediumShading1-Accent4">
    <w:name w:val="Medium Shading 1 Accent 4"/>
    <w:basedOn w:val="TableNormal"/>
    <w:uiPriority w:val="63"/>
    <w:rsid w:val="00EA080B"/>
    <w:tblPr>
      <w:tblStyleRowBandSize w:val="1"/>
      <w:tblStyleColBandSize w:val="1"/>
      <w:tblBorders>
        <w:top w:val="single" w:sz="8" w:space="0" w:color="85DAC3"/>
        <w:left w:val="single" w:sz="8" w:space="0" w:color="85DAC3"/>
        <w:bottom w:val="single" w:sz="8" w:space="0" w:color="85DAC3"/>
        <w:right w:val="single" w:sz="8" w:space="0" w:color="85DAC3"/>
        <w:insideH w:val="single" w:sz="8" w:space="0" w:color="85DAC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5DAC3"/>
          <w:left w:val="single" w:sz="8" w:space="0" w:color="85DAC3"/>
          <w:bottom w:val="single" w:sz="8" w:space="0" w:color="85DAC3"/>
          <w:right w:val="single" w:sz="8" w:space="0" w:color="85DAC3"/>
          <w:insideH w:val="nil"/>
          <w:insideV w:val="nil"/>
        </w:tcBorders>
        <w:shd w:val="clear" w:color="auto" w:fill="5DCEA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DAC3"/>
          <w:left w:val="single" w:sz="8" w:space="0" w:color="85DAC3"/>
          <w:bottom w:val="single" w:sz="8" w:space="0" w:color="85DAC3"/>
          <w:right w:val="single" w:sz="8" w:space="0" w:color="85DAC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3EB"/>
      </w:tcPr>
    </w:tblStylePr>
    <w:tblStylePr w:type="band1Horz">
      <w:tblPr/>
      <w:tcPr>
        <w:tcBorders>
          <w:insideH w:val="nil"/>
          <w:insideV w:val="nil"/>
        </w:tcBorders>
        <w:shd w:val="clear" w:color="auto" w:fill="D6F3E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A080B"/>
    <w:tblPr>
      <w:tblStyleRowBandSize w:val="1"/>
      <w:tblStyleColBandSize w:val="1"/>
      <w:tblBorders>
        <w:top w:val="single" w:sz="8" w:space="0" w:color="86D8F6"/>
        <w:left w:val="single" w:sz="8" w:space="0" w:color="86D8F6"/>
        <w:bottom w:val="single" w:sz="8" w:space="0" w:color="86D8F6"/>
        <w:right w:val="single" w:sz="8" w:space="0" w:color="86D8F6"/>
        <w:insideH w:val="single" w:sz="8" w:space="0" w:color="86D8F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6D8F6"/>
          <w:left w:val="single" w:sz="8" w:space="0" w:color="86D8F6"/>
          <w:bottom w:val="single" w:sz="8" w:space="0" w:color="86D8F6"/>
          <w:right w:val="single" w:sz="8" w:space="0" w:color="86D8F6"/>
          <w:insideH w:val="nil"/>
          <w:insideV w:val="nil"/>
        </w:tcBorders>
        <w:shd w:val="clear" w:color="auto" w:fill="5ECC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6D8F6"/>
          <w:left w:val="single" w:sz="8" w:space="0" w:color="86D8F6"/>
          <w:bottom w:val="single" w:sz="8" w:space="0" w:color="86D8F6"/>
          <w:right w:val="single" w:sz="8" w:space="0" w:color="86D8F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C"/>
      </w:tcPr>
    </w:tblStylePr>
    <w:tblStylePr w:type="band1Horz">
      <w:tblPr/>
      <w:tcPr>
        <w:tcBorders>
          <w:insideH w:val="nil"/>
          <w:insideV w:val="nil"/>
        </w:tcBorders>
        <w:shd w:val="clear" w:color="auto" w:fill="D6F2F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rsid w:val="00EA080B"/>
    <w:rPr>
      <w:color w:val="000000"/>
    </w:rPr>
    <w:tblPr>
      <w:tblStyleRowBandSize w:val="1"/>
      <w:tblStyleColBandSize w:val="1"/>
      <w:tblBorders>
        <w:top w:val="single" w:sz="8" w:space="0" w:color="5ECCF3"/>
        <w:bottom w:val="single" w:sz="8" w:space="0" w:color="5ECCF3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ECCF3"/>
        </w:tcBorders>
      </w:tcPr>
    </w:tblStylePr>
    <w:tblStylePr w:type="lastRow">
      <w:rPr>
        <w:b/>
        <w:bCs/>
        <w:color w:val="212745"/>
      </w:rPr>
      <w:tblPr/>
      <w:tcPr>
        <w:tcBorders>
          <w:top w:val="single" w:sz="8" w:space="0" w:color="5ECCF3"/>
          <w:bottom w:val="single" w:sz="8" w:space="0" w:color="5ECC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ECCF3"/>
          <w:bottom w:val="single" w:sz="8" w:space="0" w:color="5ECCF3"/>
        </w:tcBorders>
      </w:tcPr>
    </w:tblStylePr>
    <w:tblStylePr w:type="band1Vert">
      <w:tblPr/>
      <w:tcPr>
        <w:shd w:val="clear" w:color="auto" w:fill="D6F2FC"/>
      </w:tcPr>
    </w:tblStylePr>
    <w:tblStylePr w:type="band1Horz">
      <w:tblPr/>
      <w:tcPr>
        <w:shd w:val="clear" w:color="auto" w:fill="D6F2FC"/>
      </w:tcPr>
    </w:tblStylePr>
  </w:style>
  <w:style w:type="character" w:customStyle="1" w:styleId="ListParagraphChar">
    <w:name w:val="List Paragraph Char"/>
    <w:link w:val="ListParagraph"/>
    <w:uiPriority w:val="34"/>
    <w:locked/>
    <w:rsid w:val="00537BCA"/>
  </w:style>
  <w:style w:type="paragraph" w:styleId="ListParagraph">
    <w:name w:val="List Paragraph"/>
    <w:basedOn w:val="Normal"/>
    <w:link w:val="ListParagraphChar"/>
    <w:uiPriority w:val="34"/>
    <w:qFormat/>
    <w:rsid w:val="00537BCA"/>
    <w:pPr>
      <w:ind w:left="720"/>
      <w:contextualSpacing/>
    </w:pPr>
    <w:rPr>
      <w:rFonts w:ascii="Calibri" w:hAnsi="Calibri"/>
      <w:sz w:val="20"/>
      <w:szCs w:val="20"/>
      <w:lang w:eastAsia="en-AU"/>
    </w:rPr>
  </w:style>
  <w:style w:type="paragraph" w:customStyle="1" w:styleId="GivingReportDirectQuote">
    <w:name w:val="Giving Report Direct Quote"/>
    <w:basedOn w:val="Normal"/>
    <w:link w:val="GivingReportDirectQuoteChar"/>
    <w:qFormat/>
    <w:rsid w:val="00736504"/>
    <w:pPr>
      <w:ind w:left="567"/>
    </w:pPr>
    <w:rPr>
      <w:i/>
      <w:color w:val="8064A2"/>
    </w:rPr>
  </w:style>
  <w:style w:type="character" w:styleId="Strong">
    <w:name w:val="Strong"/>
    <w:basedOn w:val="DefaultParagraphFont"/>
    <w:uiPriority w:val="22"/>
    <w:qFormat/>
    <w:rsid w:val="00C40C7E"/>
    <w:rPr>
      <w:b/>
      <w:bCs/>
    </w:rPr>
  </w:style>
  <w:style w:type="paragraph" w:customStyle="1" w:styleId="GivingReportTableHeading">
    <w:name w:val="Giving Report Table Heading"/>
    <w:basedOn w:val="Normal"/>
    <w:qFormat/>
    <w:rsid w:val="00C40C7E"/>
    <w:pPr>
      <w:keepNext/>
      <w:spacing w:after="0" w:line="240" w:lineRule="auto"/>
    </w:pPr>
    <w:rPr>
      <w:rFonts w:asciiTheme="minorHAnsi" w:eastAsiaTheme="minorHAnsi" w:hAnsiTheme="minorHAnsi" w:cstheme="minorBidi"/>
      <w:b/>
      <w:color w:val="404040" w:themeColor="text1" w:themeTint="BF"/>
      <w:sz w:val="20"/>
      <w:szCs w:val="20"/>
    </w:rPr>
  </w:style>
  <w:style w:type="paragraph" w:customStyle="1" w:styleId="Tablerowrightaligned">
    <w:name w:val="Table row right aligned"/>
    <w:basedOn w:val="Normal"/>
    <w:link w:val="TablerowrightalignedChar"/>
    <w:qFormat/>
    <w:rsid w:val="00C40C7E"/>
    <w:pPr>
      <w:keepNext/>
      <w:spacing w:after="0" w:line="240" w:lineRule="auto"/>
      <w:jc w:val="right"/>
    </w:pPr>
    <w:rPr>
      <w:rFonts w:eastAsiaTheme="minorHAnsi" w:cstheme="minorBidi"/>
      <w:color w:val="404040" w:themeColor="text1" w:themeTint="BF"/>
      <w:sz w:val="20"/>
      <w:szCs w:val="20"/>
    </w:rPr>
  </w:style>
  <w:style w:type="paragraph" w:customStyle="1" w:styleId="Tablerowleftaligned">
    <w:name w:val="Table row left aligned"/>
    <w:basedOn w:val="Tablerowrightaligned"/>
    <w:link w:val="TablerowleftalignedChar"/>
    <w:qFormat/>
    <w:rsid w:val="00C40C7E"/>
    <w:pPr>
      <w:jc w:val="left"/>
    </w:pPr>
  </w:style>
  <w:style w:type="character" w:customStyle="1" w:styleId="TablerowrightalignedChar">
    <w:name w:val="Table row right aligned Char"/>
    <w:basedOn w:val="DefaultParagraphFont"/>
    <w:link w:val="Tablerowrightaligned"/>
    <w:rsid w:val="00C40C7E"/>
    <w:rPr>
      <w:rFonts w:ascii="Calibri Light" w:eastAsiaTheme="minorHAnsi" w:hAnsi="Calibri Light" w:cstheme="minorBidi"/>
      <w:color w:val="404040" w:themeColor="text1" w:themeTint="BF"/>
      <w:lang w:eastAsia="en-US"/>
    </w:rPr>
  </w:style>
  <w:style w:type="character" w:customStyle="1" w:styleId="TablerowleftalignedChar">
    <w:name w:val="Table row left aligned Char"/>
    <w:basedOn w:val="TablerowrightalignedChar"/>
    <w:link w:val="Tablerowleftaligned"/>
    <w:rsid w:val="00C40C7E"/>
    <w:rPr>
      <w:rFonts w:ascii="Calibri Light" w:eastAsiaTheme="minorHAnsi" w:hAnsi="Calibri Light" w:cstheme="minorBidi"/>
      <w:color w:val="404040" w:themeColor="text1" w:themeTint="BF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C40C7E"/>
    <w:rPr>
      <w:vertAlign w:val="superscript"/>
    </w:rPr>
  </w:style>
  <w:style w:type="paragraph" w:customStyle="1" w:styleId="GivingReportFootnote">
    <w:name w:val="Giving Report Footnote"/>
    <w:basedOn w:val="Normal"/>
    <w:qFormat/>
    <w:rsid w:val="00560D8D"/>
    <w:pPr>
      <w:keepNext/>
      <w:spacing w:after="60" w:line="240" w:lineRule="auto"/>
    </w:pPr>
    <w:rPr>
      <w:rFonts w:eastAsiaTheme="minorHAnsi" w:cstheme="minorBidi"/>
      <w:color w:val="404040" w:themeColor="text1" w:themeTint="BF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560D8D"/>
    <w:pPr>
      <w:keepNext/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0D8D"/>
    <w:rPr>
      <w:rFonts w:asciiTheme="minorHAnsi" w:eastAsiaTheme="minorEastAsia" w:hAnsiTheme="minorHAnsi" w:cstheme="minorBidi"/>
      <w:lang w:val="en-US" w:eastAsia="en-US"/>
    </w:rPr>
  </w:style>
  <w:style w:type="character" w:customStyle="1" w:styleId="A1">
    <w:name w:val="A1"/>
    <w:uiPriority w:val="99"/>
    <w:rsid w:val="00560D8D"/>
    <w:rPr>
      <w:rFonts w:cs="Garamond"/>
      <w:color w:val="000000"/>
      <w:sz w:val="22"/>
      <w:szCs w:val="22"/>
    </w:rPr>
  </w:style>
  <w:style w:type="paragraph" w:customStyle="1" w:styleId="Focusgrouplabel">
    <w:name w:val="Focus group label"/>
    <w:basedOn w:val="GivingReportDirectQuote"/>
    <w:link w:val="FocusgrouplabelChar"/>
    <w:qFormat/>
    <w:rsid w:val="00782705"/>
    <w:pPr>
      <w:keepNext/>
      <w:spacing w:after="240"/>
    </w:pPr>
    <w:rPr>
      <w:rFonts w:eastAsiaTheme="minorHAnsi"/>
      <w:b/>
      <w:color w:val="auto"/>
    </w:rPr>
  </w:style>
  <w:style w:type="character" w:customStyle="1" w:styleId="GivingReportDirectQuoteChar">
    <w:name w:val="Giving Report Direct Quote Char"/>
    <w:basedOn w:val="DefaultParagraphFont"/>
    <w:link w:val="GivingReportDirectQuote"/>
    <w:rsid w:val="00560D8D"/>
    <w:rPr>
      <w:rFonts w:ascii="Calibri Light" w:hAnsi="Calibri Light"/>
      <w:i/>
      <w:color w:val="8064A2"/>
      <w:sz w:val="22"/>
      <w:szCs w:val="22"/>
      <w:lang w:eastAsia="en-US"/>
    </w:rPr>
  </w:style>
  <w:style w:type="character" w:customStyle="1" w:styleId="FocusgrouplabelChar">
    <w:name w:val="Focus group label Char"/>
    <w:basedOn w:val="GivingReportDirectQuoteChar"/>
    <w:link w:val="Focusgrouplabel"/>
    <w:rsid w:val="00782705"/>
    <w:rPr>
      <w:rFonts w:ascii="Calibri Light" w:eastAsiaTheme="minorHAnsi" w:hAnsi="Calibri Light"/>
      <w:b/>
      <w:i/>
      <w:color w:val="8064A2"/>
      <w:sz w:val="22"/>
      <w:szCs w:val="22"/>
      <w:lang w:eastAsia="en-US"/>
    </w:rPr>
  </w:style>
  <w:style w:type="table" w:customStyle="1" w:styleId="GivingReportTable1">
    <w:name w:val="Giving Report Table1"/>
    <w:basedOn w:val="TableNormal"/>
    <w:uiPriority w:val="99"/>
    <w:qFormat/>
    <w:rsid w:val="00E82502"/>
    <w:rPr>
      <w:sz w:val="22"/>
      <w:szCs w:val="22"/>
      <w:lang w:eastAsia="en-US"/>
    </w:rPr>
    <w:tblPr>
      <w:tblStyleRowBandSize w:val="1"/>
      <w:tblInd w:w="0" w:type="nil"/>
      <w:tblBorders>
        <w:insideH w:val="dashSmallGap" w:sz="4" w:space="0" w:color="5ECCF3"/>
      </w:tblBorders>
      <w:tblCellMar>
        <w:top w:w="57" w:type="dxa"/>
        <w:bottom w:w="57" w:type="dxa"/>
      </w:tblCellMar>
    </w:tblPr>
    <w:tblStylePr w:type="firstRow">
      <w:rPr>
        <w:rFonts w:ascii="Calibri Light" w:hAnsi="Calibri Light" w:hint="default"/>
        <w:b/>
        <w:color w:val="404040"/>
        <w:sz w:val="18"/>
        <w:szCs w:val="18"/>
      </w:rPr>
      <w:tblPr/>
      <w:tcPr>
        <w:tcBorders>
          <w:top w:val="single" w:sz="4" w:space="0" w:color="5ECCF3"/>
          <w:bottom w:val="single" w:sz="4" w:space="0" w:color="5ECCF3"/>
        </w:tcBorders>
      </w:tcPr>
    </w:tblStylePr>
    <w:tblStylePr w:type="lastRow">
      <w:tblPr/>
      <w:tcPr>
        <w:tcBorders>
          <w:bottom w:val="single" w:sz="4" w:space="0" w:color="7030A0"/>
        </w:tcBorders>
      </w:tcPr>
    </w:tblStylePr>
    <w:tblStylePr w:type="band1Horz">
      <w:rPr>
        <w:rFonts w:ascii="Calibri Light" w:hAnsi="Calibri Light" w:hint="default"/>
        <w:color w:val="404040"/>
        <w:sz w:val="18"/>
        <w:szCs w:val="18"/>
      </w:rPr>
      <w:tblPr/>
      <w:tcPr>
        <w:shd w:val="clear" w:color="auto" w:fill="DEF4FC"/>
      </w:tcPr>
    </w:tblStylePr>
    <w:tblStylePr w:type="band2Horz">
      <w:rPr>
        <w:rFonts w:ascii="Calibri Light" w:hAnsi="Calibri Light" w:hint="default"/>
        <w:color w:val="404040"/>
        <w:sz w:val="18"/>
        <w:szCs w:val="18"/>
      </w:rPr>
    </w:tblStylePr>
  </w:style>
  <w:style w:type="paragraph" w:customStyle="1" w:styleId="GAQuote">
    <w:name w:val="GA Quote"/>
    <w:basedOn w:val="Normal"/>
    <w:link w:val="GAQuoteChar"/>
    <w:qFormat/>
    <w:rsid w:val="00782705"/>
    <w:pPr>
      <w:keepNext/>
      <w:spacing w:after="0"/>
      <w:ind w:left="567"/>
    </w:pPr>
    <w:rPr>
      <w:i/>
    </w:rPr>
  </w:style>
  <w:style w:type="character" w:styleId="FollowedHyperlink">
    <w:name w:val="FollowedHyperlink"/>
    <w:basedOn w:val="DefaultParagraphFont"/>
    <w:uiPriority w:val="99"/>
    <w:semiHidden/>
    <w:unhideWhenUsed/>
    <w:rsid w:val="00226535"/>
    <w:rPr>
      <w:color w:val="08536E"/>
      <w:u w:val="single"/>
    </w:rPr>
  </w:style>
  <w:style w:type="character" w:customStyle="1" w:styleId="GAQuoteChar">
    <w:name w:val="GA Quote Char"/>
    <w:basedOn w:val="DefaultParagraphFont"/>
    <w:link w:val="GAQuote"/>
    <w:rsid w:val="00782705"/>
    <w:rPr>
      <w:rFonts w:ascii="Calibri Light" w:hAnsi="Calibri Light"/>
      <w:i/>
      <w:sz w:val="22"/>
      <w:szCs w:val="22"/>
      <w:lang w:eastAsia="en-US"/>
    </w:rPr>
  </w:style>
  <w:style w:type="table" w:styleId="TableGridLight">
    <w:name w:val="Grid Table Light"/>
    <w:basedOn w:val="TableNormal"/>
    <w:uiPriority w:val="40"/>
    <w:rsid w:val="0078270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stTable6Colorful-Accent11">
    <w:name w:val="List Table 6 Colorful - Accent 11"/>
    <w:basedOn w:val="TableNormal"/>
    <w:uiPriority w:val="51"/>
    <w:rsid w:val="008B3AB7"/>
    <w:rPr>
      <w:color w:val="729928"/>
    </w:rPr>
    <w:tblPr>
      <w:tblStyleRowBandSize w:val="1"/>
      <w:tblStyleColBandSize w:val="1"/>
      <w:tblBorders>
        <w:top w:val="single" w:sz="4" w:space="0" w:color="99CB38"/>
        <w:bottom w:val="single" w:sz="4" w:space="0" w:color="99CB38"/>
      </w:tblBorders>
    </w:tblPr>
    <w:tblStylePr w:type="firstRow">
      <w:rPr>
        <w:b/>
        <w:bCs/>
      </w:rPr>
      <w:tblPr/>
      <w:tcPr>
        <w:tcBorders>
          <w:bottom w:val="single" w:sz="4" w:space="0" w:color="99CB38"/>
        </w:tcBorders>
      </w:tcPr>
    </w:tblStylePr>
    <w:tblStylePr w:type="lastRow">
      <w:rPr>
        <w:b/>
        <w:bCs/>
      </w:rPr>
      <w:tblPr/>
      <w:tcPr>
        <w:tcBorders>
          <w:top w:val="double" w:sz="4" w:space="0" w:color="99CB3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4D7"/>
      </w:tcPr>
    </w:tblStylePr>
    <w:tblStylePr w:type="band1Horz">
      <w:tblPr/>
      <w:tcPr>
        <w:shd w:val="clear" w:color="auto" w:fill="EAF4D7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ccpa.com.a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swinburne.edu.au/research/social-impact/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t.edu.au/business/about/research-centres/australian-centre-for-philanthropy-and-nonprofit-studie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dss.gov.au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540C7-7838-49EF-A29C-D3EFDF56E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QUT</Company>
  <LinksUpToDate>false</LinksUpToDate>
  <CharactersWithSpaces>4883</CharactersWithSpaces>
  <SharedDoc>false</SharedDoc>
  <HLinks>
    <vt:vector size="30" baseType="variant">
      <vt:variant>
        <vt:i4>6488121</vt:i4>
      </vt:variant>
      <vt:variant>
        <vt:i4>18</vt:i4>
      </vt:variant>
      <vt:variant>
        <vt:i4>0</vt:i4>
      </vt:variant>
      <vt:variant>
        <vt:i4>5</vt:i4>
      </vt:variant>
      <vt:variant>
        <vt:lpwstr>http://www.dss.gov.au/</vt:lpwstr>
      </vt:variant>
      <vt:variant>
        <vt:lpwstr/>
      </vt:variant>
      <vt:variant>
        <vt:i4>6488121</vt:i4>
      </vt:variant>
      <vt:variant>
        <vt:i4>15</vt:i4>
      </vt:variant>
      <vt:variant>
        <vt:i4>0</vt:i4>
      </vt:variant>
      <vt:variant>
        <vt:i4>5</vt:i4>
      </vt:variant>
      <vt:variant>
        <vt:lpwstr>http://www.dss.gov.au/</vt:lpwstr>
      </vt:variant>
      <vt:variant>
        <vt:lpwstr/>
      </vt:variant>
      <vt:variant>
        <vt:i4>1572940</vt:i4>
      </vt:variant>
      <vt:variant>
        <vt:i4>12</vt:i4>
      </vt:variant>
      <vt:variant>
        <vt:i4>0</vt:i4>
      </vt:variant>
      <vt:variant>
        <vt:i4>5</vt:i4>
      </vt:variant>
      <vt:variant>
        <vt:lpwstr>https://accpa.com.au/</vt:lpwstr>
      </vt:variant>
      <vt:variant>
        <vt:lpwstr/>
      </vt:variant>
      <vt:variant>
        <vt:i4>2359423</vt:i4>
      </vt:variant>
      <vt:variant>
        <vt:i4>9</vt:i4>
      </vt:variant>
      <vt:variant>
        <vt:i4>0</vt:i4>
      </vt:variant>
      <vt:variant>
        <vt:i4>5</vt:i4>
      </vt:variant>
      <vt:variant>
        <vt:lpwstr>http://www.swinburne.edu.au/research/social-impact/</vt:lpwstr>
      </vt:variant>
      <vt:variant>
        <vt:lpwstr/>
      </vt:variant>
      <vt:variant>
        <vt:i4>2097271</vt:i4>
      </vt:variant>
      <vt:variant>
        <vt:i4>6</vt:i4>
      </vt:variant>
      <vt:variant>
        <vt:i4>0</vt:i4>
      </vt:variant>
      <vt:variant>
        <vt:i4>5</vt:i4>
      </vt:variant>
      <vt:variant>
        <vt:lpwstr>https://www.qut.edu.au/business/about/research-centres/australian-centre-for-philanthropy-and-nonprofit-studies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Admin</cp:lastModifiedBy>
  <cp:revision>58</cp:revision>
  <cp:lastPrinted>2017-07-25T17:25:00Z</cp:lastPrinted>
  <dcterms:created xsi:type="dcterms:W3CDTF">2017-07-21T02:19:00Z</dcterms:created>
  <dcterms:modified xsi:type="dcterms:W3CDTF">2017-11-21T12:30:00Z</dcterms:modified>
</cp:coreProperties>
</file>