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37E064" w14:textId="77777777" w:rsidR="00680F05" w:rsidRDefault="00680F05" w:rsidP="00680F05">
      <w:pPr>
        <w:pStyle w:val="ListParagraph"/>
        <w:spacing w:after="0" w:line="240" w:lineRule="auto"/>
        <w:ind w:left="0"/>
        <w:rPr>
          <w:rFonts w:ascii="Calibri" w:hAnsi="Calibri" w:cs="Calibri"/>
        </w:rPr>
      </w:pPr>
      <w:r>
        <w:rPr>
          <w:rFonts w:ascii="Calibri" w:hAnsi="Calibri" w:cs="Calibri"/>
        </w:rPr>
        <w:t>The Hon Kelly O’Dwyer MP</w:t>
      </w:r>
    </w:p>
    <w:p w14:paraId="7FA8473F" w14:textId="77777777" w:rsidR="00680F05" w:rsidRDefault="00680F05" w:rsidP="00680F05">
      <w:pPr>
        <w:pStyle w:val="ListParagraph"/>
        <w:spacing w:after="0" w:line="240" w:lineRule="auto"/>
        <w:ind w:left="0"/>
        <w:rPr>
          <w:rFonts w:ascii="Calibri" w:hAnsi="Calibri" w:cs="Calibri"/>
        </w:rPr>
      </w:pPr>
      <w:r>
        <w:rPr>
          <w:rFonts w:ascii="Calibri" w:hAnsi="Calibri" w:cs="Calibri"/>
        </w:rPr>
        <w:t>Minister for Revenue and Financial Services</w:t>
      </w:r>
    </w:p>
    <w:p w14:paraId="75C243CE" w14:textId="77777777" w:rsidR="00680F05" w:rsidRDefault="00680F05" w:rsidP="00680F05">
      <w:pPr>
        <w:pStyle w:val="ListParagraph"/>
        <w:spacing w:after="0" w:line="240" w:lineRule="auto"/>
        <w:ind w:left="0"/>
        <w:rPr>
          <w:rFonts w:ascii="Calibri" w:hAnsi="Calibri" w:cs="Calibri"/>
        </w:rPr>
      </w:pPr>
      <w:r>
        <w:rPr>
          <w:rFonts w:ascii="Calibri" w:hAnsi="Calibri" w:cs="Calibri"/>
        </w:rPr>
        <w:t xml:space="preserve">Parliament House </w:t>
      </w:r>
    </w:p>
    <w:p w14:paraId="38B022DB" w14:textId="77777777" w:rsidR="00680F05" w:rsidRDefault="00680F05" w:rsidP="00680F05">
      <w:pPr>
        <w:pStyle w:val="ListParagraph"/>
        <w:spacing w:after="0" w:line="240" w:lineRule="auto"/>
        <w:ind w:left="0"/>
        <w:rPr>
          <w:rFonts w:ascii="Calibri" w:hAnsi="Calibri" w:cs="Calibri"/>
        </w:rPr>
      </w:pPr>
      <w:r>
        <w:rPr>
          <w:rFonts w:ascii="Calibri" w:hAnsi="Calibri" w:cs="Calibri"/>
        </w:rPr>
        <w:t>CANBERRA  2600</w:t>
      </w:r>
    </w:p>
    <w:p w14:paraId="5836107C" w14:textId="77777777" w:rsidR="00E8380E" w:rsidRPr="00E8380E" w:rsidRDefault="00E8380E" w:rsidP="003805FE">
      <w:pPr>
        <w:pStyle w:val="ListParagraph"/>
        <w:spacing w:after="0" w:line="240" w:lineRule="auto"/>
        <w:ind w:left="0"/>
        <w:rPr>
          <w:rFonts w:asciiTheme="minorHAnsi" w:hAnsiTheme="minorHAnsi" w:cstheme="minorHAnsi"/>
          <w:szCs w:val="24"/>
        </w:rPr>
      </w:pPr>
    </w:p>
    <w:p w14:paraId="2D235896" w14:textId="77777777" w:rsidR="007B0256" w:rsidRPr="00E8380E" w:rsidRDefault="007B0256" w:rsidP="004B54CA">
      <w:pPr>
        <w:rPr>
          <w:rStyle w:val="BookTitle"/>
          <w:rFonts w:asciiTheme="minorHAnsi" w:hAnsiTheme="minorHAnsi" w:cstheme="minorHAnsi"/>
          <w:i w:val="0"/>
          <w:iCs w:val="0"/>
          <w:smallCaps w:val="0"/>
          <w:spacing w:val="0"/>
        </w:rPr>
      </w:pPr>
    </w:p>
    <w:p w14:paraId="400A4FC7" w14:textId="77777777" w:rsidR="00E8380E" w:rsidRPr="00E8380E" w:rsidRDefault="00E8380E" w:rsidP="004B54CA">
      <w:pPr>
        <w:rPr>
          <w:rStyle w:val="BookTitle"/>
          <w:rFonts w:asciiTheme="minorHAnsi" w:hAnsiTheme="minorHAnsi" w:cstheme="minorHAnsi"/>
          <w:i w:val="0"/>
          <w:iCs w:val="0"/>
          <w:smallCaps w:val="0"/>
          <w:spacing w:val="0"/>
        </w:rPr>
      </w:pPr>
      <w:r w:rsidRPr="00E8380E">
        <w:rPr>
          <w:rStyle w:val="BookTitle"/>
          <w:rFonts w:asciiTheme="minorHAnsi" w:hAnsiTheme="minorHAnsi" w:cstheme="minorHAnsi"/>
          <w:i w:val="0"/>
          <w:iCs w:val="0"/>
          <w:smallCaps w:val="0"/>
          <w:spacing w:val="0"/>
        </w:rPr>
        <w:t>Dear Minister</w:t>
      </w:r>
    </w:p>
    <w:p w14:paraId="66A3649A" w14:textId="77777777" w:rsidR="00712061" w:rsidRDefault="00E8380E" w:rsidP="009C72DA">
      <w:pPr>
        <w:spacing w:after="120"/>
        <w:rPr>
          <w:rStyle w:val="BookTitle"/>
          <w:rFonts w:asciiTheme="minorHAnsi" w:hAnsiTheme="minorHAnsi" w:cstheme="minorHAnsi"/>
          <w:i w:val="0"/>
          <w:iCs w:val="0"/>
          <w:smallCaps w:val="0"/>
          <w:spacing w:val="0"/>
        </w:rPr>
      </w:pPr>
      <w:r>
        <w:rPr>
          <w:rStyle w:val="BookTitle"/>
          <w:rFonts w:asciiTheme="minorHAnsi" w:hAnsiTheme="minorHAnsi" w:cstheme="minorHAnsi"/>
          <w:i w:val="0"/>
          <w:iCs w:val="0"/>
          <w:smallCaps w:val="0"/>
          <w:spacing w:val="0"/>
        </w:rPr>
        <w:t>T</w:t>
      </w:r>
      <w:r w:rsidR="00680F05">
        <w:rPr>
          <w:rStyle w:val="BookTitle"/>
          <w:rFonts w:asciiTheme="minorHAnsi" w:hAnsiTheme="minorHAnsi" w:cstheme="minorHAnsi"/>
          <w:i w:val="0"/>
          <w:iCs w:val="0"/>
          <w:smallCaps w:val="0"/>
          <w:spacing w:val="0"/>
        </w:rPr>
        <w:t xml:space="preserve">hank you for </w:t>
      </w:r>
      <w:r w:rsidR="00FB473D">
        <w:rPr>
          <w:rStyle w:val="BookTitle"/>
          <w:rFonts w:asciiTheme="minorHAnsi" w:hAnsiTheme="minorHAnsi" w:cstheme="minorHAnsi"/>
          <w:i w:val="0"/>
          <w:iCs w:val="0"/>
          <w:smallCaps w:val="0"/>
          <w:spacing w:val="0"/>
        </w:rPr>
        <w:t xml:space="preserve">the </w:t>
      </w:r>
      <w:r w:rsidR="00680F05">
        <w:rPr>
          <w:rStyle w:val="BookTitle"/>
          <w:rFonts w:asciiTheme="minorHAnsi" w:hAnsiTheme="minorHAnsi" w:cstheme="minorHAnsi"/>
          <w:i w:val="0"/>
          <w:iCs w:val="0"/>
          <w:smallCaps w:val="0"/>
          <w:spacing w:val="0"/>
        </w:rPr>
        <w:t>letter of 23 M</w:t>
      </w:r>
      <w:r>
        <w:rPr>
          <w:rStyle w:val="BookTitle"/>
          <w:rFonts w:asciiTheme="minorHAnsi" w:hAnsiTheme="minorHAnsi" w:cstheme="minorHAnsi"/>
          <w:i w:val="0"/>
          <w:iCs w:val="0"/>
          <w:smallCaps w:val="0"/>
          <w:spacing w:val="0"/>
        </w:rPr>
        <w:t xml:space="preserve">ay 2017 to Angela Perry inviting the </w:t>
      </w:r>
      <w:r w:rsidR="001617DC">
        <w:rPr>
          <w:rStyle w:val="BookTitle"/>
          <w:rFonts w:asciiTheme="minorHAnsi" w:hAnsiTheme="minorHAnsi" w:cstheme="minorHAnsi"/>
          <w:i w:val="0"/>
          <w:iCs w:val="0"/>
          <w:smallCaps w:val="0"/>
          <w:spacing w:val="0"/>
        </w:rPr>
        <w:t xml:space="preserve">Prime </w:t>
      </w:r>
      <w:r w:rsidR="00712061">
        <w:rPr>
          <w:rStyle w:val="BookTitle"/>
          <w:rFonts w:asciiTheme="minorHAnsi" w:hAnsiTheme="minorHAnsi" w:cstheme="minorHAnsi"/>
          <w:i w:val="0"/>
          <w:iCs w:val="0"/>
          <w:smallCaps w:val="0"/>
          <w:spacing w:val="0"/>
        </w:rPr>
        <w:t>Minister’s</w:t>
      </w:r>
      <w:r w:rsidR="001617DC">
        <w:rPr>
          <w:rStyle w:val="BookTitle"/>
          <w:rFonts w:asciiTheme="minorHAnsi" w:hAnsiTheme="minorHAnsi" w:cstheme="minorHAnsi"/>
          <w:i w:val="0"/>
          <w:iCs w:val="0"/>
          <w:smallCaps w:val="0"/>
          <w:spacing w:val="0"/>
        </w:rPr>
        <w:t xml:space="preserve"> Community Business Partnership </w:t>
      </w:r>
      <w:r w:rsidR="00456E56">
        <w:rPr>
          <w:rStyle w:val="BookTitle"/>
          <w:rFonts w:asciiTheme="minorHAnsi" w:hAnsiTheme="minorHAnsi" w:cstheme="minorHAnsi"/>
          <w:i w:val="0"/>
          <w:iCs w:val="0"/>
          <w:smallCaps w:val="0"/>
          <w:spacing w:val="0"/>
        </w:rPr>
        <w:t xml:space="preserve">(the Partnership) </w:t>
      </w:r>
      <w:r>
        <w:rPr>
          <w:rStyle w:val="BookTitle"/>
          <w:rFonts w:asciiTheme="minorHAnsi" w:hAnsiTheme="minorHAnsi" w:cstheme="minorHAnsi"/>
          <w:i w:val="0"/>
          <w:iCs w:val="0"/>
          <w:smallCaps w:val="0"/>
          <w:spacing w:val="0"/>
        </w:rPr>
        <w:t>to</w:t>
      </w:r>
      <w:r w:rsidR="001617DC">
        <w:rPr>
          <w:rStyle w:val="BookTitle"/>
          <w:rFonts w:asciiTheme="minorHAnsi" w:hAnsiTheme="minorHAnsi" w:cstheme="minorHAnsi"/>
          <w:i w:val="0"/>
          <w:iCs w:val="0"/>
          <w:smallCaps w:val="0"/>
          <w:spacing w:val="0"/>
        </w:rPr>
        <w:t xml:space="preserve"> make a submissi</w:t>
      </w:r>
      <w:r w:rsidR="00712061">
        <w:rPr>
          <w:rStyle w:val="BookTitle"/>
          <w:rFonts w:asciiTheme="minorHAnsi" w:hAnsiTheme="minorHAnsi" w:cstheme="minorHAnsi"/>
          <w:i w:val="0"/>
          <w:iCs w:val="0"/>
          <w:smallCaps w:val="0"/>
          <w:spacing w:val="0"/>
        </w:rPr>
        <w:t xml:space="preserve">on outlining its views, in response to the Government’s discussion paper on Tax Deductible Gift Recipient </w:t>
      </w:r>
      <w:r w:rsidR="00456E56">
        <w:rPr>
          <w:rStyle w:val="BookTitle"/>
          <w:rFonts w:asciiTheme="minorHAnsi" w:hAnsiTheme="minorHAnsi" w:cstheme="minorHAnsi"/>
          <w:i w:val="0"/>
          <w:iCs w:val="0"/>
          <w:smallCaps w:val="0"/>
          <w:spacing w:val="0"/>
        </w:rPr>
        <w:t xml:space="preserve">(DGR) </w:t>
      </w:r>
      <w:r w:rsidR="00712061">
        <w:rPr>
          <w:rStyle w:val="BookTitle"/>
          <w:rFonts w:asciiTheme="minorHAnsi" w:hAnsiTheme="minorHAnsi" w:cstheme="minorHAnsi"/>
          <w:i w:val="0"/>
          <w:iCs w:val="0"/>
          <w:smallCaps w:val="0"/>
          <w:spacing w:val="0"/>
        </w:rPr>
        <w:t>Reform Opportunities.</w:t>
      </w:r>
      <w:r>
        <w:rPr>
          <w:rStyle w:val="BookTitle"/>
          <w:rFonts w:asciiTheme="minorHAnsi" w:hAnsiTheme="minorHAnsi" w:cstheme="minorHAnsi"/>
          <w:i w:val="0"/>
          <w:iCs w:val="0"/>
          <w:smallCaps w:val="0"/>
          <w:spacing w:val="0"/>
        </w:rPr>
        <w:t xml:space="preserve"> </w:t>
      </w:r>
    </w:p>
    <w:p w14:paraId="25574396" w14:textId="77777777" w:rsidR="003429C8" w:rsidRDefault="008A11EB" w:rsidP="009C72DA">
      <w:pPr>
        <w:spacing w:after="120"/>
        <w:rPr>
          <w:rStyle w:val="BookTitle"/>
          <w:rFonts w:asciiTheme="minorHAnsi" w:hAnsiTheme="minorHAnsi" w:cstheme="minorHAnsi"/>
          <w:i w:val="0"/>
          <w:iCs w:val="0"/>
          <w:smallCaps w:val="0"/>
          <w:spacing w:val="0"/>
        </w:rPr>
      </w:pPr>
      <w:r>
        <w:rPr>
          <w:rStyle w:val="BookTitle"/>
          <w:rFonts w:asciiTheme="minorHAnsi" w:hAnsiTheme="minorHAnsi" w:cstheme="minorHAnsi"/>
          <w:i w:val="0"/>
          <w:iCs w:val="0"/>
          <w:smallCaps w:val="0"/>
          <w:spacing w:val="0"/>
        </w:rPr>
        <w:t>We</w:t>
      </w:r>
      <w:r w:rsidR="003429C8">
        <w:rPr>
          <w:rStyle w:val="BookTitle"/>
          <w:rFonts w:asciiTheme="minorHAnsi" w:hAnsiTheme="minorHAnsi" w:cstheme="minorHAnsi"/>
          <w:i w:val="0"/>
          <w:iCs w:val="0"/>
          <w:smallCaps w:val="0"/>
          <w:spacing w:val="0"/>
        </w:rPr>
        <w:t xml:space="preserve"> congratulate th</w:t>
      </w:r>
      <w:r w:rsidR="00680F05">
        <w:rPr>
          <w:rStyle w:val="BookTitle"/>
          <w:rFonts w:asciiTheme="minorHAnsi" w:hAnsiTheme="minorHAnsi" w:cstheme="minorHAnsi"/>
          <w:i w:val="0"/>
          <w:iCs w:val="0"/>
          <w:smallCaps w:val="0"/>
          <w:spacing w:val="0"/>
        </w:rPr>
        <w:t xml:space="preserve">e Government for taking </w:t>
      </w:r>
      <w:r w:rsidR="003429C8">
        <w:rPr>
          <w:rStyle w:val="BookTitle"/>
          <w:rFonts w:asciiTheme="minorHAnsi" w:hAnsiTheme="minorHAnsi" w:cstheme="minorHAnsi"/>
          <w:i w:val="0"/>
          <w:iCs w:val="0"/>
          <w:smallCaps w:val="0"/>
          <w:spacing w:val="0"/>
        </w:rPr>
        <w:t xml:space="preserve">steps to promote community discussion about DGR through the release of the paper. </w:t>
      </w:r>
    </w:p>
    <w:p w14:paraId="1FC88A97" w14:textId="77777777" w:rsidR="003429C8" w:rsidRPr="00680F05" w:rsidRDefault="00680F05" w:rsidP="009C72DA">
      <w:pPr>
        <w:spacing w:after="120"/>
        <w:rPr>
          <w:rStyle w:val="BookTitle"/>
          <w:rFonts w:asciiTheme="minorHAnsi" w:hAnsiTheme="minorHAnsi" w:cstheme="minorHAnsi"/>
          <w:i w:val="0"/>
          <w:iCs w:val="0"/>
          <w:smallCaps w:val="0"/>
          <w:spacing w:val="0"/>
        </w:rPr>
      </w:pPr>
      <w:r w:rsidRPr="00680F05">
        <w:rPr>
          <w:rFonts w:asciiTheme="minorHAnsi" w:hAnsiTheme="minorHAnsi" w:cstheme="minorHAnsi"/>
        </w:rPr>
        <w:t>The DGR framework set out in Division 30 of the Income Tax Assessment Act 1997 (Cth) is a crucial en</w:t>
      </w:r>
      <w:r>
        <w:rPr>
          <w:rFonts w:asciiTheme="minorHAnsi" w:hAnsiTheme="minorHAnsi" w:cstheme="minorHAnsi"/>
        </w:rPr>
        <w:t xml:space="preserve">abling element for philanthropic partnerships to achieve outcomes </w:t>
      </w:r>
      <w:r w:rsidR="001704B3">
        <w:rPr>
          <w:rFonts w:asciiTheme="minorHAnsi" w:hAnsiTheme="minorHAnsi" w:cstheme="minorHAnsi"/>
        </w:rPr>
        <w:t xml:space="preserve">for </w:t>
      </w:r>
      <w:r>
        <w:rPr>
          <w:rFonts w:asciiTheme="minorHAnsi" w:hAnsiTheme="minorHAnsi" w:cstheme="minorHAnsi"/>
        </w:rPr>
        <w:t>Australian communities</w:t>
      </w:r>
      <w:r w:rsidRPr="00680F05">
        <w:rPr>
          <w:rFonts w:asciiTheme="minorHAnsi" w:hAnsiTheme="minorHAnsi" w:cstheme="minorHAnsi"/>
        </w:rPr>
        <w:t xml:space="preserve">. </w:t>
      </w:r>
      <w:r>
        <w:rPr>
          <w:rStyle w:val="BookTitle"/>
          <w:rFonts w:asciiTheme="minorHAnsi" w:hAnsiTheme="minorHAnsi" w:cstheme="minorHAnsi"/>
          <w:i w:val="0"/>
          <w:iCs w:val="0"/>
          <w:smallCaps w:val="0"/>
          <w:spacing w:val="0"/>
        </w:rPr>
        <w:t>The P</w:t>
      </w:r>
      <w:r w:rsidR="00456E56" w:rsidRPr="00680F05">
        <w:rPr>
          <w:rStyle w:val="BookTitle"/>
          <w:rFonts w:asciiTheme="minorHAnsi" w:hAnsiTheme="minorHAnsi" w:cstheme="minorHAnsi"/>
          <w:i w:val="0"/>
          <w:iCs w:val="0"/>
          <w:smallCaps w:val="0"/>
          <w:spacing w:val="0"/>
        </w:rPr>
        <w:t xml:space="preserve">artnership has previously advised Government that the current DGR framework is restricting donors and charities from addressing </w:t>
      </w:r>
      <w:r w:rsidR="003429C8" w:rsidRPr="00680F05">
        <w:rPr>
          <w:rStyle w:val="BookTitle"/>
          <w:rFonts w:asciiTheme="minorHAnsi" w:hAnsiTheme="minorHAnsi" w:cstheme="minorHAnsi"/>
          <w:i w:val="0"/>
          <w:iCs w:val="0"/>
          <w:smallCaps w:val="0"/>
          <w:spacing w:val="0"/>
        </w:rPr>
        <w:t xml:space="preserve">today’s complex </w:t>
      </w:r>
      <w:r w:rsidR="00456E56" w:rsidRPr="00680F05">
        <w:rPr>
          <w:rStyle w:val="BookTitle"/>
          <w:rFonts w:asciiTheme="minorHAnsi" w:hAnsiTheme="minorHAnsi" w:cstheme="minorHAnsi"/>
          <w:i w:val="0"/>
          <w:iCs w:val="0"/>
          <w:smallCaps w:val="0"/>
          <w:spacing w:val="0"/>
        </w:rPr>
        <w:t>prob</w:t>
      </w:r>
      <w:r>
        <w:rPr>
          <w:rStyle w:val="BookTitle"/>
          <w:rFonts w:asciiTheme="minorHAnsi" w:hAnsiTheme="minorHAnsi" w:cstheme="minorHAnsi"/>
          <w:i w:val="0"/>
          <w:iCs w:val="0"/>
          <w:smallCaps w:val="0"/>
          <w:spacing w:val="0"/>
        </w:rPr>
        <w:t>lems in a whole-of-community manner</w:t>
      </w:r>
      <w:r w:rsidR="00456E56" w:rsidRPr="00680F05">
        <w:rPr>
          <w:rStyle w:val="BookTitle"/>
          <w:rFonts w:asciiTheme="minorHAnsi" w:hAnsiTheme="minorHAnsi" w:cstheme="minorHAnsi"/>
          <w:i w:val="0"/>
          <w:iCs w:val="0"/>
          <w:smallCaps w:val="0"/>
          <w:spacing w:val="0"/>
        </w:rPr>
        <w:t xml:space="preserve">.  The Partnership </w:t>
      </w:r>
      <w:r>
        <w:rPr>
          <w:rStyle w:val="BookTitle"/>
          <w:rFonts w:asciiTheme="minorHAnsi" w:hAnsiTheme="minorHAnsi" w:cstheme="minorHAnsi"/>
          <w:i w:val="0"/>
          <w:iCs w:val="0"/>
          <w:smallCaps w:val="0"/>
          <w:spacing w:val="0"/>
        </w:rPr>
        <w:t>reiterated this at i</w:t>
      </w:r>
      <w:r w:rsidR="0003387A">
        <w:rPr>
          <w:rStyle w:val="BookTitle"/>
          <w:rFonts w:asciiTheme="minorHAnsi" w:hAnsiTheme="minorHAnsi" w:cstheme="minorHAnsi"/>
          <w:i w:val="0"/>
          <w:iCs w:val="0"/>
          <w:smallCaps w:val="0"/>
          <w:spacing w:val="0"/>
        </w:rPr>
        <w:t>t</w:t>
      </w:r>
      <w:r>
        <w:rPr>
          <w:rStyle w:val="BookTitle"/>
          <w:rFonts w:asciiTheme="minorHAnsi" w:hAnsiTheme="minorHAnsi" w:cstheme="minorHAnsi"/>
          <w:i w:val="0"/>
          <w:iCs w:val="0"/>
          <w:smallCaps w:val="0"/>
          <w:spacing w:val="0"/>
        </w:rPr>
        <w:t>s last</w:t>
      </w:r>
      <w:r w:rsidR="00456E56" w:rsidRPr="00680F05">
        <w:rPr>
          <w:rStyle w:val="BookTitle"/>
          <w:rFonts w:asciiTheme="minorHAnsi" w:hAnsiTheme="minorHAnsi" w:cstheme="minorHAnsi"/>
          <w:i w:val="0"/>
          <w:iCs w:val="0"/>
          <w:smallCaps w:val="0"/>
          <w:spacing w:val="0"/>
        </w:rPr>
        <w:t xml:space="preserve"> meeting with the Prime Minister and the Minister for Social Services on 18 April 2017</w:t>
      </w:r>
      <w:r w:rsidR="003429C8" w:rsidRPr="00680F05">
        <w:rPr>
          <w:rStyle w:val="BookTitle"/>
          <w:rFonts w:asciiTheme="minorHAnsi" w:hAnsiTheme="minorHAnsi" w:cstheme="minorHAnsi"/>
          <w:i w:val="0"/>
          <w:iCs w:val="0"/>
          <w:smallCaps w:val="0"/>
          <w:spacing w:val="0"/>
        </w:rPr>
        <w:t xml:space="preserve">. </w:t>
      </w:r>
    </w:p>
    <w:p w14:paraId="6B798610" w14:textId="72531BAE" w:rsidR="001D4A0C" w:rsidRPr="001D4A0C" w:rsidRDefault="009C72DA" w:rsidP="009C72DA">
      <w:pPr>
        <w:spacing w:after="120"/>
        <w:rPr>
          <w:rFonts w:asciiTheme="minorHAnsi" w:hAnsiTheme="minorHAnsi" w:cstheme="minorHAnsi"/>
          <w:i/>
        </w:rPr>
      </w:pPr>
      <w:r>
        <w:rPr>
          <w:rStyle w:val="BookTitle"/>
          <w:rFonts w:asciiTheme="minorHAnsi" w:hAnsiTheme="minorHAnsi" w:cstheme="minorHAnsi"/>
          <w:i w:val="0"/>
          <w:iCs w:val="0"/>
          <w:smallCaps w:val="0"/>
          <w:spacing w:val="0"/>
        </w:rPr>
        <w:t xml:space="preserve">Our </w:t>
      </w:r>
      <w:r w:rsidR="003429C8">
        <w:rPr>
          <w:rStyle w:val="BookTitle"/>
          <w:rFonts w:asciiTheme="minorHAnsi" w:hAnsiTheme="minorHAnsi" w:cstheme="minorHAnsi"/>
          <w:i w:val="0"/>
          <w:iCs w:val="0"/>
          <w:smallCaps w:val="0"/>
          <w:spacing w:val="0"/>
        </w:rPr>
        <w:t xml:space="preserve">consultations </w:t>
      </w:r>
      <w:r>
        <w:rPr>
          <w:rStyle w:val="BookTitle"/>
          <w:rFonts w:asciiTheme="minorHAnsi" w:hAnsiTheme="minorHAnsi" w:cstheme="minorHAnsi"/>
          <w:i w:val="0"/>
          <w:iCs w:val="0"/>
          <w:smallCaps w:val="0"/>
          <w:spacing w:val="0"/>
        </w:rPr>
        <w:t>have found</w:t>
      </w:r>
      <w:r w:rsidR="003429C8">
        <w:rPr>
          <w:rStyle w:val="BookTitle"/>
          <w:rFonts w:asciiTheme="minorHAnsi" w:hAnsiTheme="minorHAnsi" w:cstheme="minorHAnsi"/>
          <w:i w:val="0"/>
          <w:iCs w:val="0"/>
          <w:smallCaps w:val="0"/>
          <w:spacing w:val="0"/>
        </w:rPr>
        <w:t xml:space="preserve"> that is</w:t>
      </w:r>
      <w:r w:rsidR="00456E56" w:rsidRPr="00456E56">
        <w:rPr>
          <w:rStyle w:val="BookTitle"/>
          <w:rFonts w:asciiTheme="minorHAnsi" w:hAnsiTheme="minorHAnsi" w:cstheme="minorHAnsi"/>
          <w:i w:val="0"/>
          <w:iCs w:val="0"/>
          <w:smallCaps w:val="0"/>
          <w:spacing w:val="0"/>
        </w:rPr>
        <w:t xml:space="preserve">sues related to DGR are seen as a major impediment across the sector. </w:t>
      </w:r>
      <w:r w:rsidR="003429C8">
        <w:rPr>
          <w:rStyle w:val="BookTitle"/>
          <w:rFonts w:asciiTheme="minorHAnsi" w:hAnsiTheme="minorHAnsi" w:cstheme="minorHAnsi"/>
          <w:i w:val="0"/>
          <w:iCs w:val="0"/>
          <w:smallCaps w:val="0"/>
          <w:spacing w:val="0"/>
        </w:rPr>
        <w:t xml:space="preserve">One of </w:t>
      </w:r>
      <w:r w:rsidR="004145DC">
        <w:rPr>
          <w:rStyle w:val="BookTitle"/>
          <w:rFonts w:asciiTheme="minorHAnsi" w:hAnsiTheme="minorHAnsi" w:cstheme="minorHAnsi"/>
          <w:i w:val="0"/>
          <w:iCs w:val="0"/>
          <w:smallCaps w:val="0"/>
          <w:spacing w:val="0"/>
        </w:rPr>
        <w:t xml:space="preserve">our roundtable </w:t>
      </w:r>
      <w:r w:rsidR="003429C8">
        <w:rPr>
          <w:rStyle w:val="BookTitle"/>
          <w:rFonts w:asciiTheme="minorHAnsi" w:hAnsiTheme="minorHAnsi" w:cstheme="minorHAnsi"/>
          <w:i w:val="0"/>
          <w:iCs w:val="0"/>
          <w:smallCaps w:val="0"/>
          <w:spacing w:val="0"/>
        </w:rPr>
        <w:t>participants</w:t>
      </w:r>
      <w:r w:rsidR="004145DC">
        <w:rPr>
          <w:rStyle w:val="BookTitle"/>
          <w:rFonts w:asciiTheme="minorHAnsi" w:hAnsiTheme="minorHAnsi" w:cstheme="minorHAnsi"/>
          <w:i w:val="0"/>
          <w:iCs w:val="0"/>
          <w:smallCaps w:val="0"/>
          <w:spacing w:val="0"/>
        </w:rPr>
        <w:t xml:space="preserve"> </w:t>
      </w:r>
      <w:r w:rsidR="003429C8">
        <w:rPr>
          <w:rStyle w:val="BookTitle"/>
          <w:rFonts w:asciiTheme="minorHAnsi" w:hAnsiTheme="minorHAnsi" w:cstheme="minorHAnsi"/>
          <w:i w:val="0"/>
          <w:iCs w:val="0"/>
          <w:smallCaps w:val="0"/>
          <w:spacing w:val="0"/>
        </w:rPr>
        <w:t>sum</w:t>
      </w:r>
      <w:r w:rsidR="001704B3">
        <w:rPr>
          <w:rStyle w:val="BookTitle"/>
          <w:rFonts w:asciiTheme="minorHAnsi" w:hAnsiTheme="minorHAnsi" w:cstheme="minorHAnsi"/>
          <w:i w:val="0"/>
          <w:iCs w:val="0"/>
          <w:smallCaps w:val="0"/>
          <w:spacing w:val="0"/>
        </w:rPr>
        <w:t>med</w:t>
      </w:r>
      <w:r w:rsidR="003429C8">
        <w:rPr>
          <w:rStyle w:val="BookTitle"/>
          <w:rFonts w:asciiTheme="minorHAnsi" w:hAnsiTheme="minorHAnsi" w:cstheme="minorHAnsi"/>
          <w:i w:val="0"/>
          <w:iCs w:val="0"/>
          <w:smallCaps w:val="0"/>
          <w:spacing w:val="0"/>
        </w:rPr>
        <w:t xml:space="preserve"> up a broad </w:t>
      </w:r>
      <w:r w:rsidR="0061100A">
        <w:rPr>
          <w:rStyle w:val="BookTitle"/>
          <w:rFonts w:asciiTheme="minorHAnsi" w:hAnsiTheme="minorHAnsi" w:cstheme="minorHAnsi"/>
          <w:i w:val="0"/>
          <w:iCs w:val="0"/>
          <w:smallCaps w:val="0"/>
          <w:spacing w:val="0"/>
        </w:rPr>
        <w:t xml:space="preserve">view </w:t>
      </w:r>
      <w:r w:rsidR="003429C8">
        <w:rPr>
          <w:rStyle w:val="BookTitle"/>
          <w:rFonts w:asciiTheme="minorHAnsi" w:hAnsiTheme="minorHAnsi" w:cstheme="minorHAnsi"/>
          <w:i w:val="0"/>
          <w:iCs w:val="0"/>
          <w:smallCaps w:val="0"/>
          <w:spacing w:val="0"/>
        </w:rPr>
        <w:t xml:space="preserve">that </w:t>
      </w:r>
      <w:r w:rsidR="004145DC">
        <w:rPr>
          <w:rStyle w:val="BookTitle"/>
          <w:rFonts w:asciiTheme="minorHAnsi" w:hAnsiTheme="minorHAnsi" w:cstheme="minorHAnsi"/>
          <w:i w:val="0"/>
          <w:iCs w:val="0"/>
          <w:smallCaps w:val="0"/>
          <w:spacing w:val="0"/>
        </w:rPr>
        <w:t>“</w:t>
      </w:r>
      <w:r w:rsidR="004145DC">
        <w:rPr>
          <w:rFonts w:asciiTheme="minorHAnsi" w:hAnsiTheme="minorHAnsi"/>
          <w:i/>
        </w:rPr>
        <w:t xml:space="preserve">The DGR framework is broken – it evolved in an ad-hoc manner, complex, riddled with red tape, inconsistent, and just a </w:t>
      </w:r>
      <w:r w:rsidR="004145DC" w:rsidRPr="001D4A0C">
        <w:rPr>
          <w:rFonts w:asciiTheme="minorHAnsi" w:hAnsiTheme="minorHAnsi" w:cstheme="minorHAnsi"/>
          <w:i/>
        </w:rPr>
        <w:t>headache for charity lawyers and charities themselves’.</w:t>
      </w:r>
    </w:p>
    <w:p w14:paraId="30191165" w14:textId="77777777" w:rsidR="001D4A0C" w:rsidRDefault="001D4A0C" w:rsidP="009C72DA">
      <w:pPr>
        <w:spacing w:after="120"/>
        <w:rPr>
          <w:rFonts w:asciiTheme="minorHAnsi" w:hAnsiTheme="minorHAnsi" w:cstheme="minorHAnsi"/>
        </w:rPr>
      </w:pPr>
      <w:r w:rsidRPr="001D4A0C">
        <w:rPr>
          <w:rFonts w:asciiTheme="minorHAnsi" w:hAnsiTheme="minorHAnsi" w:cstheme="minorHAnsi"/>
        </w:rPr>
        <w:t xml:space="preserve">For example, an </w:t>
      </w:r>
      <w:r>
        <w:rPr>
          <w:rFonts w:asciiTheme="minorHAnsi" w:hAnsiTheme="minorHAnsi" w:cstheme="minorHAnsi"/>
        </w:rPr>
        <w:t>organisation</w:t>
      </w:r>
      <w:r w:rsidRPr="001D4A0C">
        <w:rPr>
          <w:rFonts w:asciiTheme="minorHAnsi" w:hAnsiTheme="minorHAnsi" w:cstheme="minorHAnsi"/>
        </w:rPr>
        <w:t xml:space="preserve"> whose principal activity is to promote </w:t>
      </w:r>
      <w:r>
        <w:rPr>
          <w:rFonts w:asciiTheme="minorHAnsi" w:hAnsiTheme="minorHAnsi" w:cstheme="minorHAnsi"/>
        </w:rPr>
        <w:t xml:space="preserve">education </w:t>
      </w:r>
      <w:r w:rsidRPr="001D4A0C">
        <w:rPr>
          <w:rFonts w:asciiTheme="minorHAnsi" w:hAnsiTheme="minorHAnsi" w:cstheme="minorHAnsi"/>
        </w:rPr>
        <w:t>is eligible for DG</w:t>
      </w:r>
      <w:r>
        <w:rPr>
          <w:rFonts w:asciiTheme="minorHAnsi" w:hAnsiTheme="minorHAnsi" w:cstheme="minorHAnsi"/>
        </w:rPr>
        <w:t>R status under the category of</w:t>
      </w:r>
      <w:r w:rsidRPr="001D4A0C">
        <w:rPr>
          <w:rFonts w:asciiTheme="minorHAnsi" w:hAnsiTheme="minorHAnsi" w:cstheme="minorHAnsi"/>
        </w:rPr>
        <w:t xml:space="preserve"> ‘</w:t>
      </w:r>
      <w:r>
        <w:rPr>
          <w:rFonts w:asciiTheme="minorHAnsi" w:hAnsiTheme="minorHAnsi" w:cstheme="minorHAnsi"/>
        </w:rPr>
        <w:t>Education</w:t>
      </w:r>
      <w:r w:rsidRPr="001D4A0C">
        <w:rPr>
          <w:rFonts w:asciiTheme="minorHAnsi" w:hAnsiTheme="minorHAnsi" w:cstheme="minorHAnsi"/>
        </w:rPr>
        <w:t xml:space="preserve"> Charity’. However, </w:t>
      </w:r>
      <w:r>
        <w:rPr>
          <w:rFonts w:asciiTheme="minorHAnsi" w:hAnsiTheme="minorHAnsi" w:cstheme="minorHAnsi"/>
        </w:rPr>
        <w:t xml:space="preserve">when that organisation works ‘upstream’ to address family social engagement and </w:t>
      </w:r>
      <w:r w:rsidR="0002574D">
        <w:rPr>
          <w:rFonts w:asciiTheme="minorHAnsi" w:hAnsiTheme="minorHAnsi" w:cstheme="minorHAnsi"/>
        </w:rPr>
        <w:t xml:space="preserve">welfare issues, </w:t>
      </w:r>
      <w:r w:rsidR="00FB473D">
        <w:rPr>
          <w:rFonts w:asciiTheme="minorHAnsi" w:hAnsiTheme="minorHAnsi" w:cstheme="minorHAnsi"/>
        </w:rPr>
        <w:t>it is</w:t>
      </w:r>
      <w:r w:rsidR="0002574D">
        <w:rPr>
          <w:rFonts w:asciiTheme="minorHAnsi" w:hAnsiTheme="minorHAnsi" w:cstheme="minorHAnsi"/>
        </w:rPr>
        <w:t xml:space="preserve"> unable to attract tax deductible donations for that purpose as </w:t>
      </w:r>
      <w:r w:rsidR="00FB473D">
        <w:rPr>
          <w:rFonts w:asciiTheme="minorHAnsi" w:hAnsiTheme="minorHAnsi" w:cstheme="minorHAnsi"/>
        </w:rPr>
        <w:t>it is</w:t>
      </w:r>
      <w:r w:rsidR="0002574D">
        <w:rPr>
          <w:rFonts w:asciiTheme="minorHAnsi" w:hAnsiTheme="minorHAnsi" w:cstheme="minorHAnsi"/>
        </w:rPr>
        <w:t xml:space="preserve"> not registered as a ‘Welfare Charity’ and can only use donations to address the effect rather than the cause. </w:t>
      </w:r>
      <w:r w:rsidR="002060D0">
        <w:rPr>
          <w:rFonts w:asciiTheme="minorHAnsi" w:hAnsiTheme="minorHAnsi" w:cstheme="minorHAnsi"/>
        </w:rPr>
        <w:t xml:space="preserve"> This is the principle issue that has been picked up in the consultation paper, which seeks to allow for multiple charitable purposes.  In the current environment most charities need to address multiple social issues (purposes) to be effective.</w:t>
      </w:r>
    </w:p>
    <w:p w14:paraId="4CBD13A7" w14:textId="77777777" w:rsidR="003C68B8" w:rsidRDefault="003C68B8" w:rsidP="00F54B90">
      <w:pPr>
        <w:spacing w:after="120"/>
        <w:rPr>
          <w:rFonts w:asciiTheme="minorHAnsi" w:hAnsiTheme="minorHAnsi"/>
        </w:rPr>
      </w:pPr>
      <w:r w:rsidRPr="00224E08">
        <w:rPr>
          <w:rFonts w:asciiTheme="minorHAnsi" w:hAnsiTheme="minorHAnsi"/>
        </w:rPr>
        <w:t>There are currently 51 distinct DGR categories including welfare, health, education, environmental and cultural entities. Each category has its own unique set of eligibility criteria that organisations need to meet to obtain that particular DGR status. However, not every organisation is eligible for DGR status as each category is specific in its purpose. There is not a DGR category for every activity carried out in the community, which makes it difficult for some charities with a specific purpose to gain DGR status.</w:t>
      </w:r>
    </w:p>
    <w:p w14:paraId="7959C8A2" w14:textId="77777777" w:rsidR="0061100A" w:rsidRDefault="0061100A" w:rsidP="001704B3">
      <w:pPr>
        <w:spacing w:after="120"/>
        <w:rPr>
          <w:rFonts w:asciiTheme="minorHAnsi" w:hAnsiTheme="minorHAnsi"/>
          <w:b/>
          <w:i/>
        </w:rPr>
      </w:pPr>
    </w:p>
    <w:p w14:paraId="0472FABF" w14:textId="77777777" w:rsidR="0061100A" w:rsidRDefault="0061100A" w:rsidP="001704B3">
      <w:pPr>
        <w:spacing w:after="120"/>
        <w:rPr>
          <w:rFonts w:asciiTheme="minorHAnsi" w:hAnsiTheme="minorHAnsi"/>
          <w:b/>
          <w:i/>
        </w:rPr>
      </w:pPr>
    </w:p>
    <w:p w14:paraId="0CA7BDD8" w14:textId="77777777" w:rsidR="00AD5490" w:rsidRPr="00182DC6" w:rsidRDefault="00AD5490" w:rsidP="001704B3">
      <w:pPr>
        <w:spacing w:after="120"/>
        <w:rPr>
          <w:rFonts w:asciiTheme="minorHAnsi" w:hAnsiTheme="minorHAnsi"/>
          <w:b/>
          <w:i/>
        </w:rPr>
      </w:pPr>
      <w:r w:rsidRPr="00182DC6">
        <w:rPr>
          <w:rFonts w:asciiTheme="minorHAnsi" w:hAnsiTheme="minorHAnsi"/>
          <w:b/>
          <w:i/>
        </w:rPr>
        <w:lastRenderedPageBreak/>
        <w:t xml:space="preserve">Substantive overhaul of the DGR legislation </w:t>
      </w:r>
    </w:p>
    <w:p w14:paraId="1A2AC896" w14:textId="58802065" w:rsidR="003C68B8" w:rsidRDefault="00FF44C3" w:rsidP="001704B3">
      <w:pPr>
        <w:spacing w:after="120"/>
        <w:rPr>
          <w:rFonts w:asciiTheme="minorHAnsi" w:hAnsiTheme="minorHAnsi"/>
        </w:rPr>
      </w:pPr>
      <w:r w:rsidRPr="001D4A0C">
        <w:rPr>
          <w:rFonts w:asciiTheme="minorHAnsi" w:hAnsiTheme="minorHAnsi" w:cstheme="minorHAnsi"/>
        </w:rPr>
        <w:t>The Partnership supports a number of the proposals set out in</w:t>
      </w:r>
      <w:r w:rsidR="0061100A">
        <w:rPr>
          <w:rFonts w:asciiTheme="minorHAnsi" w:hAnsiTheme="minorHAnsi" w:cstheme="minorHAnsi"/>
        </w:rPr>
        <w:t xml:space="preserve"> the discussion paper as highlighted</w:t>
      </w:r>
      <w:r w:rsidRPr="001D4A0C">
        <w:rPr>
          <w:rFonts w:asciiTheme="minorHAnsi" w:hAnsiTheme="minorHAnsi" w:cstheme="minorHAnsi"/>
        </w:rPr>
        <w:t xml:space="preserve"> below.</w:t>
      </w:r>
      <w:r w:rsidRPr="009C72DA">
        <w:rPr>
          <w:rFonts w:asciiTheme="minorHAnsi" w:hAnsiTheme="minorHAnsi"/>
        </w:rPr>
        <w:t xml:space="preserve"> </w:t>
      </w:r>
      <w:r>
        <w:rPr>
          <w:rFonts w:asciiTheme="minorHAnsi" w:hAnsiTheme="minorHAnsi"/>
        </w:rPr>
        <w:t>However, t</w:t>
      </w:r>
      <w:r>
        <w:rPr>
          <w:rFonts w:asciiTheme="minorHAnsi" w:hAnsiTheme="minorHAnsi" w:cstheme="minorHAnsi"/>
        </w:rPr>
        <w:t xml:space="preserve">he changes are incremental. </w:t>
      </w:r>
      <w:r w:rsidR="003C68B8">
        <w:rPr>
          <w:rFonts w:asciiTheme="minorHAnsi" w:hAnsiTheme="minorHAnsi"/>
        </w:rPr>
        <w:t xml:space="preserve">The Partnership advocates for a greater overhaul of the DGR legislation to </w:t>
      </w:r>
      <w:r w:rsidR="003C68B8" w:rsidRPr="00224E08">
        <w:rPr>
          <w:rFonts w:asciiTheme="minorHAnsi" w:hAnsiTheme="minorHAnsi"/>
        </w:rPr>
        <w:t>amend tax laws to remove all DGR categories and replace with fewer, but broader, categories</w:t>
      </w:r>
      <w:r w:rsidR="002060D0">
        <w:rPr>
          <w:rFonts w:asciiTheme="minorHAnsi" w:hAnsiTheme="minorHAnsi"/>
        </w:rPr>
        <w:t xml:space="preserve"> that fit with </w:t>
      </w:r>
      <w:r w:rsidR="001704B3">
        <w:rPr>
          <w:rFonts w:asciiTheme="minorHAnsi" w:hAnsiTheme="minorHAnsi"/>
        </w:rPr>
        <w:t>a</w:t>
      </w:r>
      <w:r w:rsidR="002060D0">
        <w:rPr>
          <w:rFonts w:asciiTheme="minorHAnsi" w:hAnsiTheme="minorHAnsi"/>
        </w:rPr>
        <w:t xml:space="preserve"> multiple purpose framework and also reduce complexity which is one of the key </w:t>
      </w:r>
      <w:r w:rsidR="001704B3">
        <w:rPr>
          <w:rFonts w:asciiTheme="minorHAnsi" w:hAnsiTheme="minorHAnsi"/>
        </w:rPr>
        <w:t>issues with</w:t>
      </w:r>
      <w:r w:rsidR="002060D0">
        <w:rPr>
          <w:rFonts w:asciiTheme="minorHAnsi" w:hAnsiTheme="minorHAnsi"/>
        </w:rPr>
        <w:t xml:space="preserve"> the current DGR legislation</w:t>
      </w:r>
      <w:r w:rsidR="003C68B8" w:rsidRPr="00224E08">
        <w:rPr>
          <w:rFonts w:asciiTheme="minorHAnsi" w:hAnsiTheme="minorHAnsi"/>
        </w:rPr>
        <w:t>.</w:t>
      </w:r>
    </w:p>
    <w:p w14:paraId="765DD00C" w14:textId="77777777" w:rsidR="005A1591" w:rsidRDefault="005A1591" w:rsidP="005A1591">
      <w:pPr>
        <w:spacing w:after="120"/>
        <w:rPr>
          <w:rFonts w:asciiTheme="minorHAnsi" w:hAnsiTheme="minorHAnsi"/>
        </w:rPr>
      </w:pPr>
      <w:r>
        <w:rPr>
          <w:rFonts w:asciiTheme="minorHAnsi" w:hAnsiTheme="minorHAnsi"/>
        </w:rPr>
        <w:t xml:space="preserve">The Partnership would </w:t>
      </w:r>
      <w:r w:rsidR="007336D0">
        <w:rPr>
          <w:rFonts w:asciiTheme="minorHAnsi" w:hAnsiTheme="minorHAnsi"/>
        </w:rPr>
        <w:t xml:space="preserve">go further and </w:t>
      </w:r>
      <w:r>
        <w:rPr>
          <w:rFonts w:asciiTheme="minorHAnsi" w:hAnsiTheme="minorHAnsi"/>
        </w:rPr>
        <w:t>support the creation of one general DGR category that does not limit a charities</w:t>
      </w:r>
      <w:r w:rsidR="007336D0">
        <w:rPr>
          <w:rFonts w:asciiTheme="minorHAnsi" w:hAnsiTheme="minorHAnsi"/>
        </w:rPr>
        <w:t>’</w:t>
      </w:r>
      <w:r>
        <w:rPr>
          <w:rFonts w:asciiTheme="minorHAnsi" w:hAnsiTheme="minorHAnsi"/>
        </w:rPr>
        <w:t xml:space="preserve"> activity to one of the 51 categories, or requiring multiple category endorsements, thus assisting charities approach an issue with a value chain or whole of community lens.</w:t>
      </w:r>
    </w:p>
    <w:p w14:paraId="080346FC" w14:textId="77777777" w:rsidR="009C72DA" w:rsidRDefault="003429C8" w:rsidP="009C72DA">
      <w:pPr>
        <w:spacing w:after="120"/>
        <w:rPr>
          <w:rFonts w:asciiTheme="minorHAnsi" w:hAnsiTheme="minorHAnsi"/>
        </w:rPr>
      </w:pPr>
      <w:r w:rsidRPr="009C72DA">
        <w:rPr>
          <w:rFonts w:asciiTheme="minorHAnsi" w:hAnsiTheme="minorHAnsi"/>
        </w:rPr>
        <w:t xml:space="preserve">On </w:t>
      </w:r>
      <w:r w:rsidR="00842B9E">
        <w:rPr>
          <w:rFonts w:asciiTheme="minorHAnsi" w:hAnsiTheme="minorHAnsi"/>
        </w:rPr>
        <w:t>the question of advocacy</w:t>
      </w:r>
      <w:r w:rsidR="007336D0">
        <w:rPr>
          <w:rFonts w:asciiTheme="minorHAnsi" w:hAnsiTheme="minorHAnsi"/>
        </w:rPr>
        <w:t>, the Partnership has not</w:t>
      </w:r>
      <w:r w:rsidRPr="009C72DA">
        <w:rPr>
          <w:rFonts w:asciiTheme="minorHAnsi" w:hAnsiTheme="minorHAnsi"/>
        </w:rPr>
        <w:t xml:space="preserve"> formed a definitive view.  </w:t>
      </w:r>
      <w:r w:rsidR="002060D0">
        <w:rPr>
          <w:rFonts w:asciiTheme="minorHAnsi" w:hAnsiTheme="minorHAnsi"/>
        </w:rPr>
        <w:t>We have noted the ACNC’s approach and believe that the guidance it has offered and the boundaries it has provided are a useful framework for charities that also have some advocacy element as part of their work</w:t>
      </w:r>
      <w:r w:rsidR="00A32755" w:rsidRPr="009C72DA">
        <w:rPr>
          <w:rFonts w:asciiTheme="minorHAnsi" w:hAnsiTheme="minorHAnsi"/>
        </w:rPr>
        <w:t xml:space="preserve">. </w:t>
      </w:r>
      <w:r w:rsidR="002060D0">
        <w:rPr>
          <w:rFonts w:asciiTheme="minorHAnsi" w:hAnsiTheme="minorHAnsi"/>
        </w:rPr>
        <w:t>This approach of guiding charities to compliance rather than setting definitive measures is preferred by the Partnership in a rapidly changing environment.</w:t>
      </w:r>
    </w:p>
    <w:p w14:paraId="00C6F74F" w14:textId="77777777" w:rsidR="003429C8" w:rsidRDefault="009C72DA" w:rsidP="009C72DA">
      <w:pPr>
        <w:spacing w:after="120"/>
        <w:rPr>
          <w:rFonts w:asciiTheme="minorHAnsi" w:hAnsiTheme="minorHAnsi" w:cstheme="minorHAnsi"/>
        </w:rPr>
      </w:pPr>
      <w:r w:rsidRPr="009C72DA">
        <w:rPr>
          <w:rFonts w:asciiTheme="minorHAnsi" w:hAnsiTheme="minorHAnsi" w:cstheme="minorHAnsi"/>
        </w:rPr>
        <w:t>This view aligns with previous investigations into the DGR framework, including the Not-for-profit Sector Tax Concession Working Group’s report Fairer, Simpler and More Effective Tax Concessions for the Not</w:t>
      </w:r>
      <w:r w:rsidRPr="009C72DA">
        <w:rPr>
          <w:rFonts w:asciiTheme="minorHAnsi" w:hAnsiTheme="minorHAnsi" w:cstheme="minorHAnsi"/>
        </w:rPr>
        <w:noBreakHyphen/>
        <w:t>for</w:t>
      </w:r>
      <w:r w:rsidRPr="009C72DA">
        <w:rPr>
          <w:rFonts w:asciiTheme="minorHAnsi" w:hAnsiTheme="minorHAnsi" w:cstheme="minorHAnsi"/>
        </w:rPr>
        <w:noBreakHyphen/>
        <w:t>Profit Sector (May 2013), which built upon a similar recommendation in the Productivity Commission’s report Contribution of the Not-for-Profit Sector (February 2010).</w:t>
      </w:r>
    </w:p>
    <w:p w14:paraId="6C0A494B" w14:textId="77777777" w:rsidR="00F54B90" w:rsidRDefault="00FF44C3" w:rsidP="00F54B90">
      <w:pPr>
        <w:spacing w:after="120"/>
        <w:rPr>
          <w:rFonts w:asciiTheme="minorHAnsi" w:hAnsiTheme="minorHAnsi" w:cstheme="minorHAnsi"/>
        </w:rPr>
      </w:pPr>
      <w:r>
        <w:rPr>
          <w:rFonts w:asciiTheme="minorHAnsi" w:hAnsiTheme="minorHAnsi" w:cstheme="minorHAnsi"/>
        </w:rPr>
        <w:t>T</w:t>
      </w:r>
      <w:r w:rsidR="00F54B90">
        <w:rPr>
          <w:rFonts w:asciiTheme="minorHAnsi" w:hAnsiTheme="minorHAnsi" w:cstheme="minorHAnsi"/>
        </w:rPr>
        <w:t>he</w:t>
      </w:r>
      <w:r w:rsidR="0003387A">
        <w:rPr>
          <w:rFonts w:asciiTheme="minorHAnsi" w:hAnsiTheme="minorHAnsi" w:cstheme="minorHAnsi"/>
        </w:rPr>
        <w:t xml:space="preserve"> Treasury discussion</w:t>
      </w:r>
      <w:r w:rsidR="00F54B90">
        <w:rPr>
          <w:rFonts w:asciiTheme="minorHAnsi" w:hAnsiTheme="minorHAnsi" w:cstheme="minorHAnsi"/>
        </w:rPr>
        <w:t xml:space="preserve"> paper </w:t>
      </w:r>
      <w:r w:rsidR="002060D0">
        <w:rPr>
          <w:rFonts w:asciiTheme="minorHAnsi" w:hAnsiTheme="minorHAnsi" w:cstheme="minorHAnsi"/>
        </w:rPr>
        <w:t xml:space="preserve">has picked up many of the issues that need to be addressed and which will </w:t>
      </w:r>
      <w:r w:rsidR="009C5049">
        <w:rPr>
          <w:rFonts w:asciiTheme="minorHAnsi" w:hAnsiTheme="minorHAnsi" w:cstheme="minorHAnsi"/>
        </w:rPr>
        <w:t>contribute</w:t>
      </w:r>
      <w:r w:rsidR="002060D0">
        <w:rPr>
          <w:rFonts w:asciiTheme="minorHAnsi" w:hAnsiTheme="minorHAnsi" w:cstheme="minorHAnsi"/>
        </w:rPr>
        <w:t xml:space="preserve"> to build</w:t>
      </w:r>
      <w:r w:rsidR="009C5049">
        <w:rPr>
          <w:rFonts w:asciiTheme="minorHAnsi" w:hAnsiTheme="minorHAnsi" w:cstheme="minorHAnsi"/>
        </w:rPr>
        <w:t>ing</w:t>
      </w:r>
      <w:r w:rsidR="002060D0">
        <w:rPr>
          <w:rFonts w:asciiTheme="minorHAnsi" w:hAnsiTheme="minorHAnsi" w:cstheme="minorHAnsi"/>
        </w:rPr>
        <w:t xml:space="preserve"> a transparent framework that </w:t>
      </w:r>
      <w:r w:rsidR="009C5049">
        <w:rPr>
          <w:rFonts w:asciiTheme="minorHAnsi" w:hAnsiTheme="minorHAnsi" w:cstheme="minorHAnsi"/>
        </w:rPr>
        <w:t>assists</w:t>
      </w:r>
      <w:r w:rsidR="002060D0">
        <w:rPr>
          <w:rFonts w:asciiTheme="minorHAnsi" w:hAnsiTheme="minorHAnsi" w:cstheme="minorHAnsi"/>
        </w:rPr>
        <w:t xml:space="preserve"> build trust </w:t>
      </w:r>
      <w:r w:rsidR="009C5049">
        <w:rPr>
          <w:rFonts w:asciiTheme="minorHAnsi" w:hAnsiTheme="minorHAnsi" w:cstheme="minorHAnsi"/>
        </w:rPr>
        <w:t>with</w:t>
      </w:r>
      <w:r w:rsidR="002060D0">
        <w:rPr>
          <w:rFonts w:asciiTheme="minorHAnsi" w:hAnsiTheme="minorHAnsi" w:cstheme="minorHAnsi"/>
        </w:rPr>
        <w:t xml:space="preserve"> donors and the wider community.  There are </w:t>
      </w:r>
      <w:r w:rsidR="009C5049">
        <w:rPr>
          <w:rFonts w:asciiTheme="minorHAnsi" w:hAnsiTheme="minorHAnsi" w:cstheme="minorHAnsi"/>
        </w:rPr>
        <w:t>additional</w:t>
      </w:r>
      <w:r w:rsidR="002060D0">
        <w:rPr>
          <w:rFonts w:asciiTheme="minorHAnsi" w:hAnsiTheme="minorHAnsi" w:cstheme="minorHAnsi"/>
        </w:rPr>
        <w:t xml:space="preserve"> </w:t>
      </w:r>
      <w:r w:rsidR="009C5049">
        <w:rPr>
          <w:rFonts w:asciiTheme="minorHAnsi" w:hAnsiTheme="minorHAnsi" w:cstheme="minorHAnsi"/>
        </w:rPr>
        <w:t>issues</w:t>
      </w:r>
      <w:r w:rsidR="002060D0">
        <w:rPr>
          <w:rFonts w:asciiTheme="minorHAnsi" w:hAnsiTheme="minorHAnsi" w:cstheme="minorHAnsi"/>
        </w:rPr>
        <w:t xml:space="preserve"> which </w:t>
      </w:r>
      <w:r w:rsidR="009C5049">
        <w:rPr>
          <w:rFonts w:asciiTheme="minorHAnsi" w:hAnsiTheme="minorHAnsi" w:cstheme="minorHAnsi"/>
        </w:rPr>
        <w:t>fall within the ‘innovation’ context that could further modernise and strengthen the framework to drive more strategic transformational outcomes, such as a</w:t>
      </w:r>
      <w:r w:rsidR="00F54B90" w:rsidRPr="00F54B90">
        <w:rPr>
          <w:rFonts w:asciiTheme="minorHAnsi" w:hAnsiTheme="minorHAnsi" w:cstheme="minorHAnsi"/>
        </w:rPr>
        <w:t xml:space="preserve"> new “business model/legal structure”</w:t>
      </w:r>
      <w:r w:rsidR="00F54B90">
        <w:rPr>
          <w:rFonts w:asciiTheme="minorHAnsi" w:hAnsiTheme="minorHAnsi" w:cstheme="minorHAnsi"/>
        </w:rPr>
        <w:t xml:space="preserve">. A key focus for the Partnership is the exploration of social enterprise and impact investment options. </w:t>
      </w:r>
      <w:r w:rsidR="009C5049">
        <w:rPr>
          <w:rFonts w:asciiTheme="minorHAnsi" w:hAnsiTheme="minorHAnsi" w:cstheme="minorHAnsi"/>
        </w:rPr>
        <w:t xml:space="preserve">Social enterprises are an emerging trend which will help build the sustainability and viability of the charitable sector </w:t>
      </w:r>
      <w:r w:rsidR="00866B64">
        <w:rPr>
          <w:rFonts w:asciiTheme="minorHAnsi" w:hAnsiTheme="minorHAnsi" w:cstheme="minorHAnsi"/>
        </w:rPr>
        <w:t>in Australia</w:t>
      </w:r>
      <w:r w:rsidR="009C5049">
        <w:rPr>
          <w:rFonts w:asciiTheme="minorHAnsi" w:hAnsiTheme="minorHAnsi" w:cstheme="minorHAnsi"/>
        </w:rPr>
        <w:t xml:space="preserve">. </w:t>
      </w:r>
      <w:r>
        <w:rPr>
          <w:rFonts w:asciiTheme="minorHAnsi" w:hAnsiTheme="minorHAnsi" w:cstheme="minorHAnsi"/>
        </w:rPr>
        <w:t xml:space="preserve">Although these issues were </w:t>
      </w:r>
      <w:r w:rsidR="00C8685A">
        <w:rPr>
          <w:rFonts w:asciiTheme="minorHAnsi" w:hAnsiTheme="minorHAnsi" w:cstheme="minorHAnsi"/>
        </w:rPr>
        <w:t>raised</w:t>
      </w:r>
      <w:r>
        <w:rPr>
          <w:rFonts w:asciiTheme="minorHAnsi" w:hAnsiTheme="minorHAnsi" w:cstheme="minorHAnsi"/>
        </w:rPr>
        <w:t xml:space="preserve"> in the recent Treasury consultation on Social Impact Investment, the Partnership would like to see the issues addressed in the conte</w:t>
      </w:r>
      <w:r w:rsidR="00C8685A">
        <w:rPr>
          <w:rFonts w:asciiTheme="minorHAnsi" w:hAnsiTheme="minorHAnsi" w:cstheme="minorHAnsi"/>
        </w:rPr>
        <w:t>x</w:t>
      </w:r>
      <w:r>
        <w:rPr>
          <w:rFonts w:asciiTheme="minorHAnsi" w:hAnsiTheme="minorHAnsi" w:cstheme="minorHAnsi"/>
        </w:rPr>
        <w:t>t of DGR reform</w:t>
      </w:r>
      <w:r w:rsidR="00F54B90">
        <w:rPr>
          <w:rFonts w:asciiTheme="minorHAnsi" w:hAnsiTheme="minorHAnsi" w:cstheme="minorHAnsi"/>
        </w:rPr>
        <w:t xml:space="preserve">. </w:t>
      </w:r>
      <w:r w:rsidR="002060D0">
        <w:rPr>
          <w:rFonts w:asciiTheme="minorHAnsi" w:hAnsiTheme="minorHAnsi" w:cstheme="minorHAnsi"/>
        </w:rPr>
        <w:t xml:space="preserve"> </w:t>
      </w:r>
    </w:p>
    <w:p w14:paraId="61AAB9E8" w14:textId="77777777" w:rsidR="00F54B90" w:rsidRPr="00F54B90" w:rsidRDefault="00F54B90" w:rsidP="00F54B90">
      <w:pPr>
        <w:spacing w:after="120"/>
        <w:rPr>
          <w:rFonts w:asciiTheme="minorHAnsi" w:hAnsiTheme="minorHAnsi" w:cstheme="minorHAnsi"/>
        </w:rPr>
      </w:pPr>
      <w:r w:rsidRPr="00F54B90">
        <w:rPr>
          <w:rFonts w:asciiTheme="minorHAnsi" w:hAnsiTheme="minorHAnsi" w:cstheme="minorHAnsi"/>
        </w:rPr>
        <w:t xml:space="preserve">Social enterprise is ‘enterprise’ by definition – the majority of their revenue is generated from trading. They are not </w:t>
      </w:r>
      <w:r w:rsidR="002060D0">
        <w:rPr>
          <w:rFonts w:asciiTheme="minorHAnsi" w:hAnsiTheme="minorHAnsi" w:cstheme="minorHAnsi"/>
        </w:rPr>
        <w:t xml:space="preserve">generally </w:t>
      </w:r>
      <w:r w:rsidRPr="00F54B90">
        <w:rPr>
          <w:rFonts w:asciiTheme="minorHAnsi" w:hAnsiTheme="minorHAnsi" w:cstheme="minorHAnsi"/>
        </w:rPr>
        <w:t>charities</w:t>
      </w:r>
      <w:r w:rsidR="002060D0">
        <w:rPr>
          <w:rFonts w:asciiTheme="minorHAnsi" w:hAnsiTheme="minorHAnsi" w:cstheme="minorHAnsi"/>
        </w:rPr>
        <w:t xml:space="preserve"> although part of their DNA is always to have an impact on the communities in which they operate or to support a charity they are aligned to through profit distribution and employment opportunities for the charity’s demographic. T</w:t>
      </w:r>
      <w:r w:rsidRPr="00F54B90">
        <w:rPr>
          <w:rFonts w:asciiTheme="minorHAnsi" w:hAnsiTheme="minorHAnsi" w:cstheme="minorHAnsi"/>
        </w:rPr>
        <w:t xml:space="preserve">he majority of their revenue does not come from ‘fundraising’. </w:t>
      </w:r>
      <w:r w:rsidR="00CF63EE">
        <w:rPr>
          <w:rFonts w:asciiTheme="minorHAnsi" w:hAnsiTheme="minorHAnsi" w:cstheme="minorHAnsi"/>
        </w:rPr>
        <w:t>The a</w:t>
      </w:r>
      <w:r w:rsidRPr="00F54B90">
        <w:rPr>
          <w:rFonts w:asciiTheme="minorHAnsi" w:hAnsiTheme="minorHAnsi" w:cstheme="minorHAnsi"/>
        </w:rPr>
        <w:t xml:space="preserve">pproach </w:t>
      </w:r>
      <w:r w:rsidR="00CF63EE">
        <w:rPr>
          <w:rFonts w:asciiTheme="minorHAnsi" w:hAnsiTheme="minorHAnsi" w:cstheme="minorHAnsi"/>
        </w:rPr>
        <w:t xml:space="preserve">taken in the discussion paper </w:t>
      </w:r>
      <w:r w:rsidR="002060D0">
        <w:rPr>
          <w:rFonts w:asciiTheme="minorHAnsi" w:hAnsiTheme="minorHAnsi" w:cstheme="minorHAnsi"/>
        </w:rPr>
        <w:t>reflect</w:t>
      </w:r>
      <w:r w:rsidR="00866B64">
        <w:rPr>
          <w:rFonts w:asciiTheme="minorHAnsi" w:hAnsiTheme="minorHAnsi" w:cstheme="minorHAnsi"/>
        </w:rPr>
        <w:t>s</w:t>
      </w:r>
      <w:r w:rsidR="002060D0">
        <w:rPr>
          <w:rFonts w:asciiTheme="minorHAnsi" w:hAnsiTheme="minorHAnsi" w:cstheme="minorHAnsi"/>
        </w:rPr>
        <w:t xml:space="preserve"> a view tha</w:t>
      </w:r>
      <w:r w:rsidR="00866B64">
        <w:rPr>
          <w:rFonts w:asciiTheme="minorHAnsi" w:hAnsiTheme="minorHAnsi" w:cstheme="minorHAnsi"/>
        </w:rPr>
        <w:t>t social enterprises should be categorised as not-for-p</w:t>
      </w:r>
      <w:r w:rsidR="002060D0">
        <w:rPr>
          <w:rFonts w:asciiTheme="minorHAnsi" w:hAnsiTheme="minorHAnsi" w:cstheme="minorHAnsi"/>
        </w:rPr>
        <w:t xml:space="preserve">rofits and if this approach is adopted it would restrict the real value of social enterprises, i.e. helping community outcomes, innovating ways to resolve social issues, creating employment opportunities and helping charities to be sustainable by reducing their need to rely on </w:t>
      </w:r>
      <w:r w:rsidR="00866B64">
        <w:rPr>
          <w:rFonts w:asciiTheme="minorHAnsi" w:hAnsiTheme="minorHAnsi" w:cstheme="minorHAnsi"/>
        </w:rPr>
        <w:t xml:space="preserve">government </w:t>
      </w:r>
      <w:r w:rsidR="002060D0">
        <w:rPr>
          <w:rFonts w:asciiTheme="minorHAnsi" w:hAnsiTheme="minorHAnsi" w:cstheme="minorHAnsi"/>
        </w:rPr>
        <w:t xml:space="preserve">funding and </w:t>
      </w:r>
      <w:r w:rsidR="00866B64">
        <w:rPr>
          <w:rFonts w:asciiTheme="minorHAnsi" w:hAnsiTheme="minorHAnsi" w:cstheme="minorHAnsi"/>
        </w:rPr>
        <w:t xml:space="preserve">philanthropic </w:t>
      </w:r>
      <w:r w:rsidR="002060D0">
        <w:rPr>
          <w:rFonts w:asciiTheme="minorHAnsi" w:hAnsiTheme="minorHAnsi" w:cstheme="minorHAnsi"/>
        </w:rPr>
        <w:t>donors.</w:t>
      </w:r>
    </w:p>
    <w:p w14:paraId="6DAAE1CE" w14:textId="77777777" w:rsidR="00F54B90" w:rsidRDefault="00866B64" w:rsidP="007F790E">
      <w:pPr>
        <w:spacing w:after="120"/>
        <w:rPr>
          <w:rFonts w:asciiTheme="minorHAnsi" w:hAnsiTheme="minorHAnsi" w:cstheme="minorHAnsi"/>
        </w:rPr>
      </w:pPr>
      <w:r>
        <w:rPr>
          <w:rFonts w:asciiTheme="minorHAnsi" w:hAnsiTheme="minorHAnsi" w:cstheme="minorHAnsi"/>
        </w:rPr>
        <w:lastRenderedPageBreak/>
        <w:t>S</w:t>
      </w:r>
      <w:r w:rsidR="00CF63EE">
        <w:rPr>
          <w:rFonts w:asciiTheme="minorHAnsi" w:hAnsiTheme="minorHAnsi" w:cstheme="minorHAnsi"/>
        </w:rPr>
        <w:t xml:space="preserve">ocial enterprises </w:t>
      </w:r>
      <w:r w:rsidR="00C8685A">
        <w:rPr>
          <w:rFonts w:asciiTheme="minorHAnsi" w:hAnsiTheme="minorHAnsi" w:cstheme="minorHAnsi"/>
        </w:rPr>
        <w:t xml:space="preserve">are </w:t>
      </w:r>
      <w:r w:rsidR="00F54B90" w:rsidRPr="00F54B90">
        <w:rPr>
          <w:rFonts w:asciiTheme="minorHAnsi" w:hAnsiTheme="minorHAnsi" w:cstheme="minorHAnsi"/>
        </w:rPr>
        <w:t xml:space="preserve">different </w:t>
      </w:r>
      <w:r w:rsidR="00CF63EE">
        <w:rPr>
          <w:rFonts w:asciiTheme="minorHAnsi" w:hAnsiTheme="minorHAnsi" w:cstheme="minorHAnsi"/>
        </w:rPr>
        <w:t>to</w:t>
      </w:r>
      <w:r w:rsidR="00F54B90" w:rsidRPr="00F54B90">
        <w:rPr>
          <w:rFonts w:asciiTheme="minorHAnsi" w:hAnsiTheme="minorHAnsi" w:cstheme="minorHAnsi"/>
        </w:rPr>
        <w:t xml:space="preserve"> charities and </w:t>
      </w:r>
      <w:r w:rsidR="00CF63EE">
        <w:rPr>
          <w:rFonts w:asciiTheme="minorHAnsi" w:hAnsiTheme="minorHAnsi" w:cstheme="minorHAnsi"/>
        </w:rPr>
        <w:t>should not</w:t>
      </w:r>
      <w:r w:rsidR="00F54B90" w:rsidRPr="00F54B90">
        <w:rPr>
          <w:rFonts w:asciiTheme="minorHAnsi" w:hAnsiTheme="minorHAnsi" w:cstheme="minorHAnsi"/>
        </w:rPr>
        <w:t xml:space="preserve"> be subject to the </w:t>
      </w:r>
      <w:r>
        <w:rPr>
          <w:rFonts w:asciiTheme="minorHAnsi" w:hAnsiTheme="minorHAnsi" w:cstheme="minorHAnsi"/>
        </w:rPr>
        <w:t>identical</w:t>
      </w:r>
      <w:r w:rsidR="00F54B90" w:rsidRPr="00F54B90">
        <w:rPr>
          <w:rFonts w:asciiTheme="minorHAnsi" w:hAnsiTheme="minorHAnsi" w:cstheme="minorHAnsi"/>
        </w:rPr>
        <w:t xml:space="preserve"> regulations as charities. </w:t>
      </w:r>
      <w:r w:rsidR="00BB065D">
        <w:rPr>
          <w:rFonts w:asciiTheme="minorHAnsi" w:hAnsiTheme="minorHAnsi" w:cstheme="minorHAnsi"/>
        </w:rPr>
        <w:t xml:space="preserve">All social enterprises have some form of regulation </w:t>
      </w:r>
      <w:r>
        <w:rPr>
          <w:rFonts w:asciiTheme="minorHAnsi" w:hAnsiTheme="minorHAnsi" w:cstheme="minorHAnsi"/>
        </w:rPr>
        <w:t>via</w:t>
      </w:r>
      <w:r w:rsidR="00BB065D">
        <w:rPr>
          <w:rFonts w:asciiTheme="minorHAnsi" w:hAnsiTheme="minorHAnsi" w:cstheme="minorHAnsi"/>
        </w:rPr>
        <w:t xml:space="preserve"> the Corporations Act or </w:t>
      </w:r>
      <w:r>
        <w:rPr>
          <w:rFonts w:asciiTheme="minorHAnsi" w:hAnsiTheme="minorHAnsi" w:cstheme="minorHAnsi"/>
        </w:rPr>
        <w:t>the applicable Co-operative Law, and additional regulations should take this into account.</w:t>
      </w:r>
    </w:p>
    <w:p w14:paraId="4667A8E5" w14:textId="11C740BF" w:rsidR="0061100A" w:rsidRPr="00F54B90" w:rsidRDefault="0061100A" w:rsidP="007F790E">
      <w:pPr>
        <w:spacing w:after="120"/>
        <w:rPr>
          <w:rFonts w:asciiTheme="minorHAnsi" w:hAnsiTheme="minorHAnsi" w:cstheme="minorHAnsi"/>
        </w:rPr>
      </w:pPr>
      <w:r>
        <w:rPr>
          <w:rFonts w:asciiTheme="minorHAnsi" w:hAnsiTheme="minorHAnsi" w:cstheme="minorHAnsi"/>
        </w:rPr>
        <w:t>Modernising the DGR legislation with consideration of emerging structures will help create a future ready system.</w:t>
      </w:r>
    </w:p>
    <w:p w14:paraId="4FA58496" w14:textId="77777777" w:rsidR="009C72DA" w:rsidRPr="009C72DA" w:rsidRDefault="009C72DA" w:rsidP="009C72DA">
      <w:pPr>
        <w:spacing w:after="120"/>
        <w:rPr>
          <w:rFonts w:asciiTheme="minorHAnsi" w:hAnsiTheme="minorHAnsi" w:cstheme="minorHAnsi"/>
          <w:b/>
          <w:i/>
        </w:rPr>
      </w:pPr>
      <w:r w:rsidRPr="009C72DA">
        <w:rPr>
          <w:rFonts w:asciiTheme="minorHAnsi" w:hAnsiTheme="minorHAnsi" w:cstheme="minorHAnsi"/>
          <w:b/>
          <w:i/>
        </w:rPr>
        <w:t>Transparency in DGR dealings and adherence to governance standards.</w:t>
      </w:r>
    </w:p>
    <w:p w14:paraId="1BDC45F0" w14:textId="1A14CFDE" w:rsidR="009C72DA" w:rsidRPr="00B87FB7" w:rsidRDefault="009C72DA" w:rsidP="00B87FB7">
      <w:pPr>
        <w:spacing w:after="120"/>
        <w:rPr>
          <w:rFonts w:asciiTheme="minorHAnsi" w:hAnsiTheme="minorHAnsi"/>
        </w:rPr>
      </w:pPr>
      <w:r w:rsidRPr="009C72DA">
        <w:rPr>
          <w:rFonts w:asciiTheme="minorHAnsi" w:hAnsiTheme="minorHAnsi"/>
        </w:rPr>
        <w:t xml:space="preserve">Transparency and adherence to clear equitable and reasonable standards are essential elements for a modern fit-for-purpose DGR framework. The easiest way to achieve this is to require every </w:t>
      </w:r>
      <w:r w:rsidR="0061100A">
        <w:rPr>
          <w:rFonts w:asciiTheme="minorHAnsi" w:hAnsiTheme="minorHAnsi"/>
        </w:rPr>
        <w:t>not-for-profit and charities to</w:t>
      </w:r>
      <w:r w:rsidRPr="009C72DA">
        <w:rPr>
          <w:rFonts w:asciiTheme="minorHAnsi" w:hAnsiTheme="minorHAnsi"/>
        </w:rPr>
        <w:t xml:space="preserve"> be approved as a charity with DGR endorsement to follow.  This overcomes the exceptions which currently exist and brings all organisations under one umbrella (ACNC) of </w:t>
      </w:r>
      <w:r w:rsidRPr="00B87FB7">
        <w:rPr>
          <w:rFonts w:asciiTheme="minorHAnsi" w:hAnsiTheme="minorHAnsi"/>
        </w:rPr>
        <w:t xml:space="preserve">governance. One set of rules will make it clearer for everyone involved and improve consistent governance across the sector.  </w:t>
      </w:r>
    </w:p>
    <w:p w14:paraId="6C73BAB0" w14:textId="77777777" w:rsidR="00B87FB7" w:rsidRPr="00B87FB7" w:rsidRDefault="00B87FB7" w:rsidP="00B87FB7">
      <w:pPr>
        <w:pStyle w:val="Default"/>
        <w:spacing w:after="120" w:line="276" w:lineRule="auto"/>
        <w:rPr>
          <w:sz w:val="22"/>
          <w:szCs w:val="22"/>
        </w:rPr>
      </w:pPr>
      <w:r w:rsidRPr="00B87FB7">
        <w:rPr>
          <w:rFonts w:asciiTheme="minorHAnsi" w:hAnsiTheme="minorHAnsi"/>
          <w:sz w:val="22"/>
          <w:szCs w:val="22"/>
        </w:rPr>
        <w:t>All DGRs should also qualify under the regulations as charitie</w:t>
      </w:r>
      <w:r>
        <w:rPr>
          <w:rFonts w:asciiTheme="minorHAnsi" w:hAnsiTheme="minorHAnsi"/>
          <w:sz w:val="22"/>
          <w:szCs w:val="22"/>
        </w:rPr>
        <w:t>s because the categories are</w:t>
      </w:r>
      <w:r w:rsidRPr="00B87FB7">
        <w:rPr>
          <w:rFonts w:asciiTheme="minorHAnsi" w:hAnsiTheme="minorHAnsi"/>
          <w:sz w:val="22"/>
          <w:szCs w:val="22"/>
        </w:rPr>
        <w:t xml:space="preserve"> similar in both Acts. As charitable status is a prerequisite of endorsement for many DGR categories, including two of the four DGR registers—the Register of Harm Prevention Charities and the Overseas Aid Gift Deduction Scheme – there is an argument to standardise this for consistency and equity.</w:t>
      </w:r>
    </w:p>
    <w:p w14:paraId="30047C88" w14:textId="53FC12FB" w:rsidR="0061100A" w:rsidRDefault="0061100A" w:rsidP="0061100A">
      <w:pPr>
        <w:spacing w:after="120"/>
        <w:rPr>
          <w:rFonts w:asciiTheme="minorHAnsi" w:hAnsiTheme="minorHAnsi" w:cstheme="minorHAnsi"/>
          <w:color w:val="000000"/>
        </w:rPr>
      </w:pPr>
      <w:r>
        <w:rPr>
          <w:rFonts w:asciiTheme="minorHAnsi" w:hAnsiTheme="minorHAnsi" w:cstheme="minorHAnsi"/>
        </w:rPr>
        <w:t xml:space="preserve">This approach may </w:t>
      </w:r>
      <w:r w:rsidRPr="009230B5">
        <w:rPr>
          <w:rFonts w:asciiTheme="minorHAnsi" w:hAnsiTheme="minorHAnsi" w:cstheme="minorHAnsi"/>
        </w:rPr>
        <w:t xml:space="preserve">impact on Cooperatives and Mutuals. </w:t>
      </w:r>
      <w:r w:rsidRPr="00C83925">
        <w:rPr>
          <w:rFonts w:asciiTheme="minorHAnsi" w:hAnsiTheme="minorHAnsi" w:cstheme="minorHAnsi"/>
          <w:color w:val="000000"/>
        </w:rPr>
        <w:t xml:space="preserve">There are currently more than 700 co-operatives that are registered charities, and approximately 150 co-operatives with DGR status. These co-operatives operate in a range of sectors including community radio, aboriginal services, education, health, care services and employment services. </w:t>
      </w:r>
      <w:r w:rsidRPr="009230B5">
        <w:rPr>
          <w:rFonts w:asciiTheme="minorHAnsi" w:hAnsiTheme="minorHAnsi" w:cstheme="minorHAnsi"/>
          <w:color w:val="000000"/>
        </w:rPr>
        <w:t xml:space="preserve">Co-operatives operate under a robust governance framework that is designed to protect purpose and therefore the need for further regulation of co-operatives, </w:t>
      </w:r>
      <w:r w:rsidRPr="009230B5">
        <w:rPr>
          <w:rFonts w:asciiTheme="minorHAnsi" w:hAnsiTheme="minorHAnsi" w:cstheme="minorHAnsi"/>
          <w:i/>
          <w:iCs/>
          <w:color w:val="000000"/>
        </w:rPr>
        <w:t xml:space="preserve">as </w:t>
      </w:r>
      <w:r w:rsidRPr="009230B5">
        <w:rPr>
          <w:rFonts w:asciiTheme="minorHAnsi" w:hAnsiTheme="minorHAnsi" w:cstheme="minorHAnsi"/>
          <w:color w:val="000000"/>
        </w:rPr>
        <w:t xml:space="preserve">charities </w:t>
      </w:r>
      <w:r w:rsidRPr="009230B5">
        <w:rPr>
          <w:rFonts w:asciiTheme="minorHAnsi" w:hAnsiTheme="minorHAnsi" w:cstheme="minorHAnsi"/>
          <w:i/>
          <w:iCs/>
          <w:color w:val="000000"/>
        </w:rPr>
        <w:t xml:space="preserve">and/or </w:t>
      </w:r>
      <w:r w:rsidRPr="009230B5">
        <w:rPr>
          <w:rFonts w:asciiTheme="minorHAnsi" w:hAnsiTheme="minorHAnsi" w:cstheme="minorHAnsi"/>
          <w:color w:val="000000"/>
        </w:rPr>
        <w:t>DGR status holders, should be carefully evaluated.</w:t>
      </w:r>
      <w:r>
        <w:rPr>
          <w:rFonts w:asciiTheme="minorHAnsi" w:hAnsiTheme="minorHAnsi" w:cstheme="minorHAnsi"/>
          <w:color w:val="000000"/>
        </w:rPr>
        <w:t xml:space="preserve">  </w:t>
      </w:r>
    </w:p>
    <w:p w14:paraId="2ECDDC1D" w14:textId="759F6E0D" w:rsidR="00C83925" w:rsidRPr="0061100A" w:rsidRDefault="0061100A" w:rsidP="0061100A">
      <w:pPr>
        <w:spacing w:after="120"/>
        <w:rPr>
          <w:rFonts w:asciiTheme="minorHAnsi" w:hAnsiTheme="minorHAnsi" w:cstheme="minorHAnsi"/>
        </w:rPr>
      </w:pPr>
      <w:r>
        <w:rPr>
          <w:rFonts w:asciiTheme="minorHAnsi" w:hAnsiTheme="minorHAnsi"/>
        </w:rPr>
        <w:t xml:space="preserve">Consideration is also needed for unintended consequences. </w:t>
      </w:r>
      <w:r w:rsidR="00B87FB7" w:rsidRPr="00B87FB7">
        <w:rPr>
          <w:rFonts w:asciiTheme="minorHAnsi" w:hAnsiTheme="minorHAnsi"/>
        </w:rPr>
        <w:t xml:space="preserve">ACNC registration and reporting are relatively easy for small charities to meet, but the ACNC requirement to be an ABN registered entity may affect some regional and smaller DGRs which may not have an appropriate legal structure. </w:t>
      </w:r>
    </w:p>
    <w:p w14:paraId="594D8327" w14:textId="5631B8D3" w:rsidR="00C83925" w:rsidRPr="009230B5" w:rsidRDefault="00BB065D" w:rsidP="00C83925">
      <w:pPr>
        <w:spacing w:after="120"/>
        <w:rPr>
          <w:rFonts w:asciiTheme="minorHAnsi" w:hAnsiTheme="minorHAnsi" w:cstheme="minorHAnsi"/>
        </w:rPr>
      </w:pPr>
      <w:r>
        <w:rPr>
          <w:rFonts w:asciiTheme="minorHAnsi" w:hAnsiTheme="minorHAnsi" w:cstheme="minorHAnsi"/>
          <w:color w:val="000000"/>
        </w:rPr>
        <w:t>Any recommended changes should consider all potential structures as well as allowing organisations a period to transition to the new regime, similar to that adopted when the ACNC register was first initiated.</w:t>
      </w:r>
    </w:p>
    <w:p w14:paraId="0DAD6496" w14:textId="2267FA3C" w:rsidR="00B87FB7" w:rsidRDefault="00B87FB7" w:rsidP="00B87FB7">
      <w:pPr>
        <w:spacing w:after="120"/>
        <w:rPr>
          <w:rFonts w:asciiTheme="minorHAnsi" w:hAnsiTheme="minorHAnsi"/>
        </w:rPr>
      </w:pPr>
      <w:r>
        <w:rPr>
          <w:rFonts w:asciiTheme="minorHAnsi" w:hAnsiTheme="minorHAnsi"/>
        </w:rPr>
        <w:t xml:space="preserve">Public transparency for </w:t>
      </w:r>
      <w:r w:rsidR="0061100A">
        <w:rPr>
          <w:rFonts w:asciiTheme="minorHAnsi" w:hAnsiTheme="minorHAnsi"/>
        </w:rPr>
        <w:t>Public Ancillary Funds (</w:t>
      </w:r>
      <w:r w:rsidRPr="00B87FB7">
        <w:rPr>
          <w:rFonts w:asciiTheme="minorHAnsi" w:hAnsiTheme="minorHAnsi"/>
        </w:rPr>
        <w:t>PAFs</w:t>
      </w:r>
      <w:r w:rsidR="009720C9">
        <w:rPr>
          <w:rFonts w:asciiTheme="minorHAnsi" w:hAnsiTheme="minorHAnsi"/>
        </w:rPr>
        <w:t>)</w:t>
      </w:r>
      <w:r w:rsidRPr="00B87FB7">
        <w:rPr>
          <w:rFonts w:asciiTheme="minorHAnsi" w:hAnsiTheme="minorHAnsi"/>
        </w:rPr>
        <w:t xml:space="preserve"> </w:t>
      </w:r>
      <w:r>
        <w:rPr>
          <w:rFonts w:asciiTheme="minorHAnsi" w:hAnsiTheme="minorHAnsi"/>
        </w:rPr>
        <w:t xml:space="preserve">has also been managed, with an existing process in place for PAFs to request public </w:t>
      </w:r>
      <w:r w:rsidRPr="00B87FB7">
        <w:rPr>
          <w:rFonts w:asciiTheme="minorHAnsi" w:hAnsiTheme="minorHAnsi"/>
        </w:rPr>
        <w:t>confidentially under the ACNC register.  As long as this provision is retained there should not be concerns with privacy</w:t>
      </w:r>
      <w:r>
        <w:rPr>
          <w:rFonts w:asciiTheme="minorHAnsi" w:hAnsiTheme="minorHAnsi"/>
        </w:rPr>
        <w:t xml:space="preserve"> balanced with appropriate oversight and governance by ACNC</w:t>
      </w:r>
      <w:r w:rsidRPr="00B87FB7">
        <w:rPr>
          <w:rFonts w:asciiTheme="minorHAnsi" w:hAnsiTheme="minorHAnsi"/>
        </w:rPr>
        <w:t>.</w:t>
      </w:r>
    </w:p>
    <w:p w14:paraId="4FF873CE" w14:textId="77777777" w:rsidR="00123AD6" w:rsidRDefault="00123AD6" w:rsidP="00B87FB7">
      <w:pPr>
        <w:spacing w:after="120"/>
        <w:rPr>
          <w:rFonts w:asciiTheme="minorHAnsi" w:hAnsiTheme="minorHAnsi"/>
        </w:rPr>
      </w:pPr>
      <w:r>
        <w:rPr>
          <w:rFonts w:asciiTheme="minorHAnsi" w:hAnsiTheme="minorHAnsi"/>
        </w:rPr>
        <w:t>Any additional scope given to the ACNC would require additional resourcing of the ACNC, to ensure it could be undertaken effectively and achieve the desired outcomes, and is strongly encouraged by the Partnership.</w:t>
      </w:r>
    </w:p>
    <w:p w14:paraId="097F9136" w14:textId="77777777" w:rsidR="007336D0" w:rsidRDefault="007336D0">
      <w:pPr>
        <w:rPr>
          <w:rFonts w:asciiTheme="minorHAnsi" w:hAnsiTheme="minorHAnsi"/>
          <w:b/>
          <w:i/>
        </w:rPr>
      </w:pPr>
      <w:r>
        <w:rPr>
          <w:rFonts w:asciiTheme="minorHAnsi" w:hAnsiTheme="minorHAnsi"/>
          <w:b/>
          <w:i/>
        </w:rPr>
        <w:br w:type="page"/>
      </w:r>
    </w:p>
    <w:p w14:paraId="7DF28341" w14:textId="77777777" w:rsidR="00B87FB7" w:rsidRPr="00B87FB7" w:rsidRDefault="00B87FB7" w:rsidP="00B87FB7">
      <w:pPr>
        <w:spacing w:after="120"/>
        <w:rPr>
          <w:rFonts w:asciiTheme="minorHAnsi" w:hAnsiTheme="minorHAnsi" w:cstheme="minorHAnsi"/>
          <w:i/>
        </w:rPr>
      </w:pPr>
      <w:r w:rsidRPr="00B87FB7">
        <w:rPr>
          <w:rFonts w:asciiTheme="minorHAnsi" w:hAnsiTheme="minorHAnsi"/>
          <w:b/>
          <w:i/>
        </w:rPr>
        <w:lastRenderedPageBreak/>
        <w:t>Ensuring that DGRs understand their obligations, for example in respect of advocacy.</w:t>
      </w:r>
    </w:p>
    <w:p w14:paraId="5BA24F1F" w14:textId="6194679D" w:rsidR="00BB065D" w:rsidRDefault="0002574D" w:rsidP="0002574D">
      <w:pPr>
        <w:spacing w:after="120"/>
        <w:rPr>
          <w:rFonts w:asciiTheme="minorHAnsi" w:hAnsiTheme="minorHAnsi"/>
        </w:rPr>
      </w:pPr>
      <w:r>
        <w:rPr>
          <w:rFonts w:asciiTheme="minorHAnsi" w:hAnsiTheme="minorHAnsi"/>
        </w:rPr>
        <w:t xml:space="preserve">We advocate for minimising burdensome red tape, as we have heard of the </w:t>
      </w:r>
      <w:r w:rsidR="0061100A">
        <w:rPr>
          <w:rFonts w:asciiTheme="minorHAnsi" w:hAnsiTheme="minorHAnsi"/>
        </w:rPr>
        <w:t xml:space="preserve">excessive </w:t>
      </w:r>
      <w:r>
        <w:rPr>
          <w:rFonts w:asciiTheme="minorHAnsi" w:hAnsiTheme="minorHAnsi"/>
        </w:rPr>
        <w:t xml:space="preserve">time invested navigating regulations and processes taking resources that could be directed to achieving outcomes for communities. However we suggest </w:t>
      </w:r>
      <w:r w:rsidRPr="0002574D">
        <w:rPr>
          <w:rFonts w:asciiTheme="minorHAnsi" w:hAnsiTheme="minorHAnsi"/>
        </w:rPr>
        <w:t xml:space="preserve">careful consideration of </w:t>
      </w:r>
      <w:r>
        <w:rPr>
          <w:rFonts w:asciiTheme="minorHAnsi" w:hAnsiTheme="minorHAnsi"/>
        </w:rPr>
        <w:t xml:space="preserve">changes to ensure </w:t>
      </w:r>
      <w:r w:rsidRPr="0002574D">
        <w:rPr>
          <w:rFonts w:asciiTheme="minorHAnsi" w:hAnsiTheme="minorHAnsi"/>
        </w:rPr>
        <w:t>negative unintended consequences</w:t>
      </w:r>
      <w:r>
        <w:rPr>
          <w:rFonts w:asciiTheme="minorHAnsi" w:hAnsiTheme="minorHAnsi"/>
        </w:rPr>
        <w:t xml:space="preserve"> are managed. </w:t>
      </w:r>
    </w:p>
    <w:p w14:paraId="083F9A70" w14:textId="77777777" w:rsidR="0061100A" w:rsidRDefault="0061100A" w:rsidP="0061100A">
      <w:pPr>
        <w:spacing w:after="120"/>
        <w:rPr>
          <w:rFonts w:asciiTheme="minorHAnsi" w:hAnsiTheme="minorHAnsi"/>
        </w:rPr>
      </w:pPr>
      <w:r>
        <w:rPr>
          <w:rFonts w:asciiTheme="minorHAnsi" w:hAnsiTheme="minorHAnsi"/>
        </w:rPr>
        <w:t>The Partnership strongly encourages a focus on charity purpose as opposed to activity. A charity may achieve its purpose via a range of activities, and purely reviewing activities may fail to consider the wider purpose for which the charity exists.</w:t>
      </w:r>
    </w:p>
    <w:p w14:paraId="7CC2317F" w14:textId="77777777" w:rsidR="0002574D" w:rsidRPr="0002574D" w:rsidRDefault="0002574D" w:rsidP="00123AD6">
      <w:pPr>
        <w:spacing w:after="0"/>
        <w:rPr>
          <w:rFonts w:asciiTheme="minorHAnsi" w:hAnsiTheme="minorHAnsi"/>
        </w:rPr>
      </w:pPr>
      <w:r>
        <w:rPr>
          <w:rFonts w:asciiTheme="minorHAnsi" w:hAnsiTheme="minorHAnsi"/>
        </w:rPr>
        <w:t xml:space="preserve">Clarity is needed on a number of issues: </w:t>
      </w:r>
    </w:p>
    <w:p w14:paraId="40F1E227" w14:textId="77777777" w:rsidR="0002574D" w:rsidRPr="0002574D" w:rsidRDefault="00323861" w:rsidP="0002574D">
      <w:pPr>
        <w:pStyle w:val="ListParagraph"/>
        <w:numPr>
          <w:ilvl w:val="0"/>
          <w:numId w:val="6"/>
        </w:numPr>
        <w:spacing w:after="120"/>
        <w:rPr>
          <w:rFonts w:asciiTheme="minorHAnsi" w:hAnsiTheme="minorHAnsi"/>
        </w:rPr>
      </w:pPr>
      <w:r>
        <w:rPr>
          <w:rFonts w:asciiTheme="minorHAnsi" w:hAnsiTheme="minorHAnsi"/>
        </w:rPr>
        <w:t>c</w:t>
      </w:r>
      <w:r w:rsidR="0002574D" w:rsidRPr="0002574D">
        <w:rPr>
          <w:rFonts w:asciiTheme="minorHAnsi" w:hAnsiTheme="minorHAnsi"/>
        </w:rPr>
        <w:t>l</w:t>
      </w:r>
      <w:r w:rsidR="0002574D">
        <w:rPr>
          <w:rFonts w:asciiTheme="minorHAnsi" w:hAnsiTheme="minorHAnsi"/>
        </w:rPr>
        <w:t>early and unambiguously define</w:t>
      </w:r>
      <w:r w:rsidR="0002574D" w:rsidRPr="0002574D">
        <w:rPr>
          <w:rFonts w:asciiTheme="minorHAnsi" w:hAnsiTheme="minorHAnsi"/>
        </w:rPr>
        <w:t xml:space="preserve"> ‘advocacy’ noting the blurred line between advocacy and education</w:t>
      </w:r>
    </w:p>
    <w:p w14:paraId="1A7DC651" w14:textId="77777777" w:rsidR="0002574D" w:rsidRPr="0002574D" w:rsidRDefault="00323861" w:rsidP="0002574D">
      <w:pPr>
        <w:pStyle w:val="ListParagraph"/>
        <w:numPr>
          <w:ilvl w:val="0"/>
          <w:numId w:val="6"/>
        </w:numPr>
        <w:spacing w:after="120"/>
        <w:rPr>
          <w:rFonts w:asciiTheme="minorHAnsi" w:hAnsiTheme="minorHAnsi"/>
        </w:rPr>
      </w:pPr>
      <w:r>
        <w:rPr>
          <w:rFonts w:asciiTheme="minorHAnsi" w:hAnsiTheme="minorHAnsi"/>
        </w:rPr>
        <w:t>a</w:t>
      </w:r>
      <w:r w:rsidR="0002574D">
        <w:rPr>
          <w:rFonts w:asciiTheme="minorHAnsi" w:hAnsiTheme="minorHAnsi"/>
        </w:rPr>
        <w:t>cknowledge</w:t>
      </w:r>
      <w:r w:rsidR="0002574D" w:rsidRPr="0002574D">
        <w:rPr>
          <w:rFonts w:asciiTheme="minorHAnsi" w:hAnsiTheme="minorHAnsi"/>
        </w:rPr>
        <w:t xml:space="preserve"> the likelihood that advocacy and services/program provision can often be integrally linked and challenging to delineate for the purpose of measurement</w:t>
      </w:r>
      <w:r>
        <w:rPr>
          <w:rFonts w:asciiTheme="minorHAnsi" w:hAnsiTheme="minorHAnsi"/>
        </w:rPr>
        <w:t>, and</w:t>
      </w:r>
    </w:p>
    <w:p w14:paraId="662DC43A" w14:textId="77777777" w:rsidR="0002574D" w:rsidRPr="0002574D" w:rsidRDefault="00323861" w:rsidP="0002574D">
      <w:pPr>
        <w:pStyle w:val="ListParagraph"/>
        <w:numPr>
          <w:ilvl w:val="0"/>
          <w:numId w:val="6"/>
        </w:numPr>
        <w:spacing w:after="120"/>
        <w:rPr>
          <w:rFonts w:asciiTheme="minorHAnsi" w:hAnsiTheme="minorHAnsi"/>
        </w:rPr>
      </w:pPr>
      <w:r>
        <w:rPr>
          <w:rFonts w:asciiTheme="minorHAnsi" w:hAnsiTheme="minorHAnsi"/>
        </w:rPr>
        <w:t>n</w:t>
      </w:r>
      <w:r w:rsidR="0002574D">
        <w:rPr>
          <w:rFonts w:asciiTheme="minorHAnsi" w:hAnsiTheme="minorHAnsi"/>
        </w:rPr>
        <w:t>ote</w:t>
      </w:r>
      <w:r w:rsidR="0002574D" w:rsidRPr="0002574D">
        <w:rPr>
          <w:rFonts w:asciiTheme="minorHAnsi" w:hAnsiTheme="minorHAnsi"/>
        </w:rPr>
        <w:t xml:space="preserve"> that effectively achieving positive outcomes for community can and should be linked to advocating for the needs of vulnerable groups who are not positioned to do so on their own behalf.</w:t>
      </w:r>
    </w:p>
    <w:p w14:paraId="04CDC4C2" w14:textId="77777777" w:rsidR="0002574D" w:rsidRDefault="0002574D" w:rsidP="0002574D">
      <w:pPr>
        <w:spacing w:after="120"/>
        <w:rPr>
          <w:rFonts w:asciiTheme="minorHAnsi" w:hAnsiTheme="minorHAnsi"/>
        </w:rPr>
      </w:pPr>
      <w:r w:rsidRPr="0002574D">
        <w:rPr>
          <w:rFonts w:asciiTheme="minorHAnsi" w:hAnsiTheme="minorHAnsi"/>
        </w:rPr>
        <w:t xml:space="preserve">If data about charity advocacy activities is collected, there needs to be clear and transparent guidelines about what the data would be used for, ensuring the information cannot be ‘politicised’ in the case of a charity taking a </w:t>
      </w:r>
      <w:r w:rsidR="00123AD6">
        <w:rPr>
          <w:rFonts w:asciiTheme="minorHAnsi" w:hAnsiTheme="minorHAnsi"/>
        </w:rPr>
        <w:t>stance against a controversial G</w:t>
      </w:r>
      <w:r w:rsidRPr="0002574D">
        <w:rPr>
          <w:rFonts w:asciiTheme="minorHAnsi" w:hAnsiTheme="minorHAnsi"/>
        </w:rPr>
        <w:t xml:space="preserve">overnment position. </w:t>
      </w:r>
    </w:p>
    <w:p w14:paraId="179CBA4A" w14:textId="77777777" w:rsidR="00B87FB7" w:rsidRPr="0002574D" w:rsidRDefault="0002574D" w:rsidP="007336D0">
      <w:pPr>
        <w:spacing w:after="240"/>
        <w:rPr>
          <w:rFonts w:asciiTheme="minorHAnsi" w:hAnsiTheme="minorHAnsi"/>
        </w:rPr>
      </w:pPr>
      <w:r w:rsidRPr="0002574D">
        <w:rPr>
          <w:rFonts w:asciiTheme="minorHAnsi" w:hAnsiTheme="minorHAnsi"/>
        </w:rPr>
        <w:t xml:space="preserve">We believe the annual statement is the best </w:t>
      </w:r>
      <w:r>
        <w:rPr>
          <w:rFonts w:asciiTheme="minorHAnsi" w:hAnsiTheme="minorHAnsi"/>
        </w:rPr>
        <w:t>mechanism to collect</w:t>
      </w:r>
      <w:r w:rsidRPr="0002574D">
        <w:rPr>
          <w:rFonts w:asciiTheme="minorHAnsi" w:hAnsiTheme="minorHAnsi"/>
        </w:rPr>
        <w:t xml:space="preserve"> </w:t>
      </w:r>
      <w:r>
        <w:rPr>
          <w:rFonts w:asciiTheme="minorHAnsi" w:hAnsiTheme="minorHAnsi"/>
        </w:rPr>
        <w:t>DGR</w:t>
      </w:r>
      <w:r w:rsidRPr="0002574D">
        <w:rPr>
          <w:rFonts w:asciiTheme="minorHAnsi" w:hAnsiTheme="minorHAnsi"/>
        </w:rPr>
        <w:t xml:space="preserve"> information at is the one reporting document commonly used by charities to ACNC</w:t>
      </w:r>
      <w:r>
        <w:rPr>
          <w:rFonts w:asciiTheme="minorHAnsi" w:hAnsiTheme="minorHAnsi"/>
        </w:rPr>
        <w:t>.</w:t>
      </w:r>
      <w:r w:rsidR="00BB065D">
        <w:rPr>
          <w:rFonts w:asciiTheme="minorHAnsi" w:hAnsiTheme="minorHAnsi"/>
        </w:rPr>
        <w:t xml:space="preserve">  The Partnership also believes that the current ACNC approach which is one of guidance and monitoring is preferred over specific percentage figures.  This reflects the practical reality for charities, for example one year a charity may require a significant advocacy effort because of a specific legislative or policy change which might rightly be its focus for that year.  The concept of percentages could create issues for charities achieving their purpose or fulfilling their commitment to donors.</w:t>
      </w:r>
    </w:p>
    <w:p w14:paraId="72A36DF7" w14:textId="77777777" w:rsidR="001D5059" w:rsidRPr="001D5059" w:rsidRDefault="001D5059" w:rsidP="00B466E9">
      <w:pPr>
        <w:keepNext/>
        <w:spacing w:after="120"/>
        <w:rPr>
          <w:rFonts w:asciiTheme="minorHAnsi" w:hAnsiTheme="minorHAnsi"/>
          <w:b/>
          <w:i/>
        </w:rPr>
      </w:pPr>
      <w:r w:rsidRPr="001D5059">
        <w:rPr>
          <w:rFonts w:asciiTheme="minorHAnsi" w:hAnsiTheme="minorHAnsi"/>
          <w:b/>
          <w:i/>
        </w:rPr>
        <w:t>Complexity for approvals under the four DGR registers.</w:t>
      </w:r>
    </w:p>
    <w:p w14:paraId="02BE88B5" w14:textId="77777777" w:rsidR="001D5059" w:rsidRDefault="001D5059" w:rsidP="001D5059">
      <w:pPr>
        <w:spacing w:after="120"/>
        <w:rPr>
          <w:rFonts w:asciiTheme="minorHAnsi" w:hAnsiTheme="minorHAnsi"/>
        </w:rPr>
      </w:pPr>
      <w:r w:rsidRPr="001D5059">
        <w:rPr>
          <w:rFonts w:asciiTheme="minorHAnsi" w:hAnsiTheme="minorHAnsi"/>
        </w:rPr>
        <w:t xml:space="preserve">The Partnership’s preferred framework would be a common </w:t>
      </w:r>
      <w:r w:rsidR="00B466E9">
        <w:rPr>
          <w:rFonts w:asciiTheme="minorHAnsi" w:hAnsiTheme="minorHAnsi"/>
        </w:rPr>
        <w:t xml:space="preserve">and streamlined </w:t>
      </w:r>
      <w:r w:rsidRPr="001D5059">
        <w:rPr>
          <w:rFonts w:asciiTheme="minorHAnsi" w:hAnsiTheme="minorHAnsi"/>
        </w:rPr>
        <w:t xml:space="preserve">approach to the four DGR registers, brought into the administration of ATO.  ACNC would register those organisations eligible for charity status, and provide a ‘one stop shop’ service to charities by passing their details on to ATO for DGR endorsement. ATO would maintain registers of organisations with endorsement under each of the four DGR </w:t>
      </w:r>
      <w:r w:rsidR="00ED7FAD">
        <w:rPr>
          <w:rFonts w:asciiTheme="minorHAnsi" w:hAnsiTheme="minorHAnsi"/>
        </w:rPr>
        <w:t>registers</w:t>
      </w:r>
      <w:r w:rsidRPr="001D5059">
        <w:rPr>
          <w:rFonts w:asciiTheme="minorHAnsi" w:hAnsiTheme="minorHAnsi"/>
        </w:rPr>
        <w:t>, whether the endorsement arises by virtue of the organisation’s charity sub-type, a charity-like government entity, or a specific listing.</w:t>
      </w:r>
    </w:p>
    <w:p w14:paraId="628F317D" w14:textId="5F1FCF18" w:rsidR="00ED7FAD" w:rsidRDefault="00ED7FAD" w:rsidP="001D5059">
      <w:pPr>
        <w:spacing w:after="120"/>
        <w:rPr>
          <w:rFonts w:asciiTheme="minorHAnsi" w:hAnsiTheme="minorHAnsi"/>
        </w:rPr>
      </w:pPr>
      <w:r>
        <w:rPr>
          <w:rFonts w:asciiTheme="minorHAnsi" w:hAnsiTheme="minorHAnsi"/>
        </w:rPr>
        <w:t xml:space="preserve">Rather </w:t>
      </w:r>
      <w:r w:rsidR="009720C9">
        <w:rPr>
          <w:rFonts w:asciiTheme="minorHAnsi" w:hAnsiTheme="minorHAnsi"/>
        </w:rPr>
        <w:t xml:space="preserve">than retain the numerous </w:t>
      </w:r>
      <w:r>
        <w:rPr>
          <w:rFonts w:asciiTheme="minorHAnsi" w:hAnsiTheme="minorHAnsi"/>
        </w:rPr>
        <w:t>DGR categories, the Partnership supports the creation of one general DGR category that does not limit a charities</w:t>
      </w:r>
      <w:r w:rsidR="005D1318">
        <w:rPr>
          <w:rFonts w:asciiTheme="minorHAnsi" w:hAnsiTheme="minorHAnsi"/>
        </w:rPr>
        <w:t>’</w:t>
      </w:r>
      <w:r>
        <w:rPr>
          <w:rFonts w:asciiTheme="minorHAnsi" w:hAnsiTheme="minorHAnsi"/>
        </w:rPr>
        <w:t xml:space="preserve"> activities to one of the </w:t>
      </w:r>
      <w:r w:rsidR="003C68B8">
        <w:rPr>
          <w:rFonts w:asciiTheme="minorHAnsi" w:hAnsiTheme="minorHAnsi"/>
        </w:rPr>
        <w:t>51</w:t>
      </w:r>
      <w:r>
        <w:rPr>
          <w:rFonts w:asciiTheme="minorHAnsi" w:hAnsiTheme="minorHAnsi"/>
        </w:rPr>
        <w:t xml:space="preserve"> categories, thus assisting charities approach an issue with a value chain or whole of community lens.</w:t>
      </w:r>
    </w:p>
    <w:p w14:paraId="6258B331" w14:textId="2D0BFE79" w:rsidR="009720C9" w:rsidRPr="001D5059" w:rsidRDefault="009720C9" w:rsidP="001D5059">
      <w:pPr>
        <w:spacing w:after="120"/>
        <w:rPr>
          <w:rFonts w:asciiTheme="minorHAnsi" w:hAnsiTheme="minorHAnsi"/>
        </w:rPr>
      </w:pPr>
      <w:r>
        <w:rPr>
          <w:rFonts w:asciiTheme="minorHAnsi" w:hAnsiTheme="minorHAnsi"/>
        </w:rPr>
        <w:lastRenderedPageBreak/>
        <w:t>Noting this may be challenging reform in the short term, the Partnership supports a transitional arrangement as proposed in the discussion paper, with charities able to nominate multiple DGR categories within which they would operate.</w:t>
      </w:r>
    </w:p>
    <w:p w14:paraId="2A6A68EC" w14:textId="77777777" w:rsidR="001D5059" w:rsidRPr="009C72DA" w:rsidRDefault="00B466E9" w:rsidP="001D5059">
      <w:pPr>
        <w:spacing w:after="120"/>
        <w:rPr>
          <w:rFonts w:asciiTheme="minorHAnsi" w:hAnsiTheme="minorHAnsi"/>
        </w:rPr>
      </w:pPr>
      <w:r>
        <w:rPr>
          <w:rFonts w:asciiTheme="minorHAnsi" w:hAnsiTheme="minorHAnsi"/>
        </w:rPr>
        <w:t>It w</w:t>
      </w:r>
      <w:r w:rsidR="001D5059" w:rsidRPr="009C72DA">
        <w:rPr>
          <w:rFonts w:asciiTheme="minorHAnsi" w:hAnsiTheme="minorHAnsi"/>
        </w:rPr>
        <w:t>ould be critical to maintain the existing close working relationship and data sharing arrangements in place between ATO and ACNC to streamline the registration process and any ongoing reporting obligations for ACNC registered charities on each DGR register.</w:t>
      </w:r>
    </w:p>
    <w:p w14:paraId="4F47EE6A" w14:textId="77777777" w:rsidR="004145DC" w:rsidRPr="009C72DA" w:rsidRDefault="004145DC" w:rsidP="007336D0">
      <w:pPr>
        <w:spacing w:after="240"/>
        <w:rPr>
          <w:rStyle w:val="BookTitle"/>
          <w:i w:val="0"/>
          <w:iCs w:val="0"/>
        </w:rPr>
      </w:pPr>
      <w:r w:rsidRPr="009C72DA">
        <w:rPr>
          <w:rFonts w:asciiTheme="minorHAnsi" w:hAnsiTheme="minorHAnsi"/>
        </w:rPr>
        <w:t>The</w:t>
      </w:r>
      <w:r w:rsidR="001D5059">
        <w:rPr>
          <w:rFonts w:asciiTheme="minorHAnsi" w:hAnsiTheme="minorHAnsi"/>
        </w:rPr>
        <w:t xml:space="preserve"> Partnership would expect</w:t>
      </w:r>
      <w:r w:rsidRPr="009C72DA">
        <w:rPr>
          <w:rFonts w:asciiTheme="minorHAnsi" w:hAnsiTheme="minorHAnsi"/>
        </w:rPr>
        <w:t xml:space="preserve"> the appropriate subject matter experts rel</w:t>
      </w:r>
      <w:r w:rsidR="001D5059">
        <w:rPr>
          <w:rFonts w:asciiTheme="minorHAnsi" w:hAnsiTheme="minorHAnsi"/>
        </w:rPr>
        <w:t xml:space="preserve">evant to the four registers </w:t>
      </w:r>
      <w:r w:rsidR="00B466E9">
        <w:rPr>
          <w:rFonts w:asciiTheme="minorHAnsi" w:hAnsiTheme="minorHAnsi"/>
        </w:rPr>
        <w:t xml:space="preserve">to be </w:t>
      </w:r>
      <w:r w:rsidR="001D5059">
        <w:rPr>
          <w:rFonts w:asciiTheme="minorHAnsi" w:hAnsiTheme="minorHAnsi"/>
        </w:rPr>
        <w:t>consulted, h</w:t>
      </w:r>
      <w:r w:rsidRPr="009C72DA">
        <w:rPr>
          <w:rFonts w:asciiTheme="minorHAnsi" w:hAnsiTheme="minorHAnsi"/>
        </w:rPr>
        <w:t>owever, if the relevant portfolio ministers are required to sign off and the process is not streamlined, consolidating the registers may not achieve the aim of simplification. To ensure the aim is reached, there should be adequate resources in place, along with transparent service level agreements which should be publicly reported on annually.</w:t>
      </w:r>
    </w:p>
    <w:p w14:paraId="159239B1" w14:textId="77777777" w:rsidR="009E6731" w:rsidRPr="001D5059" w:rsidRDefault="009E6731" w:rsidP="009C72DA">
      <w:pPr>
        <w:spacing w:after="120"/>
        <w:rPr>
          <w:rFonts w:asciiTheme="minorHAnsi" w:hAnsiTheme="minorHAnsi"/>
          <w:b/>
          <w:i/>
        </w:rPr>
      </w:pPr>
      <w:r w:rsidRPr="001D5059">
        <w:rPr>
          <w:rFonts w:asciiTheme="minorHAnsi" w:hAnsiTheme="minorHAnsi"/>
          <w:b/>
          <w:i/>
        </w:rPr>
        <w:t>Complexity and red tape created by the public fund requirements</w:t>
      </w:r>
      <w:r w:rsidR="001D5059">
        <w:rPr>
          <w:rFonts w:asciiTheme="minorHAnsi" w:hAnsiTheme="minorHAnsi"/>
          <w:b/>
          <w:i/>
        </w:rPr>
        <w:t>.</w:t>
      </w:r>
    </w:p>
    <w:p w14:paraId="25BC0555" w14:textId="05F5921B" w:rsidR="003429C8" w:rsidRPr="009C72DA" w:rsidRDefault="009E6731" w:rsidP="007336D0">
      <w:pPr>
        <w:spacing w:after="120"/>
        <w:rPr>
          <w:rFonts w:asciiTheme="minorHAnsi" w:hAnsiTheme="minorHAnsi"/>
        </w:rPr>
      </w:pPr>
      <w:r w:rsidRPr="009C72DA">
        <w:rPr>
          <w:rFonts w:asciiTheme="minorHAnsi" w:hAnsiTheme="minorHAnsi"/>
        </w:rPr>
        <w:t xml:space="preserve">The Partnership supports reducing complexity and red tape created by the public fund requirements. The </w:t>
      </w:r>
      <w:r w:rsidR="00ED7FAD">
        <w:rPr>
          <w:rFonts w:asciiTheme="minorHAnsi" w:hAnsiTheme="minorHAnsi"/>
        </w:rPr>
        <w:t xml:space="preserve">definition of ‘responsible persons’ is varied, with many rural and regional charities challenged with the strictest application of the definition. The role and definition of </w:t>
      </w:r>
      <w:r w:rsidRPr="009C72DA">
        <w:rPr>
          <w:rFonts w:asciiTheme="minorHAnsi" w:hAnsiTheme="minorHAnsi"/>
        </w:rPr>
        <w:t xml:space="preserve">public officer causes a lot of confusion and the public fund concept is not well understood or administered.  </w:t>
      </w:r>
      <w:r w:rsidR="00BB065D">
        <w:rPr>
          <w:rFonts w:asciiTheme="minorHAnsi" w:hAnsiTheme="minorHAnsi"/>
        </w:rPr>
        <w:t>The</w:t>
      </w:r>
      <w:r w:rsidR="00BB065D" w:rsidRPr="009C72DA">
        <w:rPr>
          <w:rFonts w:asciiTheme="minorHAnsi" w:hAnsiTheme="minorHAnsi"/>
        </w:rPr>
        <w:t xml:space="preserve"> </w:t>
      </w:r>
      <w:r w:rsidR="003429C8" w:rsidRPr="009C72DA">
        <w:rPr>
          <w:rFonts w:asciiTheme="minorHAnsi" w:hAnsiTheme="minorHAnsi"/>
        </w:rPr>
        <w:t xml:space="preserve">Partnership </w:t>
      </w:r>
      <w:r w:rsidR="0000604D">
        <w:rPr>
          <w:rFonts w:asciiTheme="minorHAnsi" w:hAnsiTheme="minorHAnsi"/>
        </w:rPr>
        <w:t xml:space="preserve">supports: </w:t>
      </w:r>
    </w:p>
    <w:p w14:paraId="3925530A" w14:textId="77777777" w:rsidR="003429C8" w:rsidRDefault="00ED7FAD" w:rsidP="007336D0">
      <w:pPr>
        <w:numPr>
          <w:ilvl w:val="0"/>
          <w:numId w:val="5"/>
        </w:numPr>
        <w:spacing w:after="120"/>
        <w:ind w:left="357" w:hanging="357"/>
        <w:rPr>
          <w:rFonts w:asciiTheme="minorHAnsi" w:hAnsiTheme="minorHAnsi"/>
        </w:rPr>
      </w:pPr>
      <w:r>
        <w:rPr>
          <w:rFonts w:asciiTheme="minorHAnsi" w:hAnsiTheme="minorHAnsi"/>
        </w:rPr>
        <w:t>utilising</w:t>
      </w:r>
      <w:r w:rsidR="003429C8" w:rsidRPr="009C72DA">
        <w:rPr>
          <w:rFonts w:asciiTheme="minorHAnsi" w:hAnsiTheme="minorHAnsi"/>
        </w:rPr>
        <w:t xml:space="preserve"> </w:t>
      </w:r>
      <w:r w:rsidR="006825FD">
        <w:rPr>
          <w:rFonts w:asciiTheme="minorHAnsi" w:hAnsiTheme="minorHAnsi"/>
        </w:rPr>
        <w:t>a standard</w:t>
      </w:r>
      <w:r w:rsidR="003429C8" w:rsidRPr="009C72DA">
        <w:rPr>
          <w:rFonts w:asciiTheme="minorHAnsi" w:hAnsiTheme="minorHAnsi"/>
        </w:rPr>
        <w:t xml:space="preserve"> definition of ‘responsible person’ to reduce confusion </w:t>
      </w:r>
      <w:r w:rsidR="00A32755" w:rsidRPr="009C72DA">
        <w:rPr>
          <w:rFonts w:asciiTheme="minorHAnsi" w:hAnsiTheme="minorHAnsi"/>
        </w:rPr>
        <w:t>about</w:t>
      </w:r>
      <w:r>
        <w:rPr>
          <w:rFonts w:asciiTheme="minorHAnsi" w:hAnsiTheme="minorHAnsi"/>
        </w:rPr>
        <w:t xml:space="preserve"> public funds</w:t>
      </w:r>
    </w:p>
    <w:p w14:paraId="67EF7335" w14:textId="561D5F72" w:rsidR="00BB065D" w:rsidRPr="005A1591" w:rsidRDefault="006825FD" w:rsidP="007336D0">
      <w:pPr>
        <w:numPr>
          <w:ilvl w:val="0"/>
          <w:numId w:val="5"/>
        </w:numPr>
        <w:spacing w:after="120"/>
        <w:ind w:left="357" w:hanging="357"/>
        <w:rPr>
          <w:rFonts w:asciiTheme="minorHAnsi" w:hAnsiTheme="minorHAnsi"/>
        </w:rPr>
      </w:pPr>
      <w:r>
        <w:rPr>
          <w:rFonts w:asciiTheme="minorHAnsi" w:hAnsiTheme="minorHAnsi"/>
        </w:rPr>
        <w:t>en</w:t>
      </w:r>
      <w:r w:rsidR="00B2561C">
        <w:rPr>
          <w:rFonts w:asciiTheme="minorHAnsi" w:hAnsiTheme="minorHAnsi"/>
        </w:rPr>
        <w:t>s</w:t>
      </w:r>
      <w:r>
        <w:rPr>
          <w:rFonts w:asciiTheme="minorHAnsi" w:hAnsiTheme="minorHAnsi"/>
        </w:rPr>
        <w:t xml:space="preserve">uring the definition of </w:t>
      </w:r>
      <w:r w:rsidRPr="009C72DA">
        <w:rPr>
          <w:rFonts w:asciiTheme="minorHAnsi" w:hAnsiTheme="minorHAnsi"/>
        </w:rPr>
        <w:t>‘responsible person’</w:t>
      </w:r>
      <w:r>
        <w:rPr>
          <w:rFonts w:asciiTheme="minorHAnsi" w:hAnsiTheme="minorHAnsi"/>
        </w:rPr>
        <w:t xml:space="preserve"> </w:t>
      </w:r>
      <w:r w:rsidR="00B2561C">
        <w:rPr>
          <w:rFonts w:asciiTheme="minorHAnsi" w:hAnsiTheme="minorHAnsi"/>
        </w:rPr>
        <w:t>meets a benchmark consistent with community expectations i</w:t>
      </w:r>
      <w:r w:rsidR="00BB065D">
        <w:rPr>
          <w:rFonts w:asciiTheme="minorHAnsi" w:hAnsiTheme="minorHAnsi"/>
        </w:rPr>
        <w:t>.</w:t>
      </w:r>
      <w:r w:rsidR="00B2561C">
        <w:rPr>
          <w:rFonts w:asciiTheme="minorHAnsi" w:hAnsiTheme="minorHAnsi"/>
        </w:rPr>
        <w:t>e</w:t>
      </w:r>
      <w:r w:rsidR="00BB065D">
        <w:rPr>
          <w:rFonts w:asciiTheme="minorHAnsi" w:hAnsiTheme="minorHAnsi"/>
        </w:rPr>
        <w:t>.</w:t>
      </w:r>
      <w:r w:rsidR="00B2561C">
        <w:rPr>
          <w:rFonts w:asciiTheme="minorHAnsi" w:hAnsiTheme="minorHAnsi"/>
        </w:rPr>
        <w:t xml:space="preserve"> </w:t>
      </w:r>
      <w:r>
        <w:rPr>
          <w:rFonts w:asciiTheme="minorHAnsi" w:hAnsiTheme="minorHAnsi"/>
        </w:rPr>
        <w:t xml:space="preserve">extends beyond </w:t>
      </w:r>
      <w:r w:rsidR="00B2561C">
        <w:rPr>
          <w:rFonts w:asciiTheme="minorHAnsi" w:hAnsiTheme="minorHAnsi"/>
        </w:rPr>
        <w:t>the corporations law test but which does not put unnecessary burden on small organisations especially in regional and rural areas</w:t>
      </w:r>
      <w:r w:rsidR="005A1591">
        <w:rPr>
          <w:rFonts w:asciiTheme="minorHAnsi" w:hAnsiTheme="minorHAnsi"/>
        </w:rPr>
        <w:t xml:space="preserve">. However, </w:t>
      </w:r>
      <w:r w:rsidR="00BB065D" w:rsidRPr="005A1591">
        <w:rPr>
          <w:rFonts w:asciiTheme="minorHAnsi" w:hAnsiTheme="minorHAnsi"/>
        </w:rPr>
        <w:t>any definition should not be prohibitive</w:t>
      </w:r>
      <w:r w:rsidR="005A1591">
        <w:rPr>
          <w:rFonts w:asciiTheme="minorHAnsi" w:hAnsiTheme="minorHAnsi"/>
        </w:rPr>
        <w:t xml:space="preserve"> and </w:t>
      </w:r>
      <w:r w:rsidR="00BB065D" w:rsidRPr="005A1591">
        <w:rPr>
          <w:rFonts w:asciiTheme="minorHAnsi" w:hAnsiTheme="minorHAnsi"/>
        </w:rPr>
        <w:t>to ensure integrity of the system</w:t>
      </w:r>
      <w:r w:rsidR="005A1591">
        <w:rPr>
          <w:rFonts w:asciiTheme="minorHAnsi" w:hAnsiTheme="minorHAnsi"/>
        </w:rPr>
        <w:t xml:space="preserve"> there</w:t>
      </w:r>
      <w:r w:rsidR="002A1A00" w:rsidRPr="005A1591">
        <w:rPr>
          <w:rFonts w:asciiTheme="minorHAnsi" w:hAnsiTheme="minorHAnsi"/>
        </w:rPr>
        <w:t xml:space="preserve"> should be an easy way for responsible</w:t>
      </w:r>
      <w:r w:rsidR="00B2213B">
        <w:rPr>
          <w:rFonts w:asciiTheme="minorHAnsi" w:hAnsiTheme="minorHAnsi"/>
        </w:rPr>
        <w:t xml:space="preserve"> persons to be vetted, e.g. requiring</w:t>
      </w:r>
      <w:r w:rsidR="002A1A00" w:rsidRPr="005A1591">
        <w:rPr>
          <w:rFonts w:asciiTheme="minorHAnsi" w:hAnsiTheme="minorHAnsi"/>
        </w:rPr>
        <w:t xml:space="preserve"> a National Police Check and/or ASIC register search for disqualification or breach of duties. </w:t>
      </w:r>
    </w:p>
    <w:p w14:paraId="6823AA84" w14:textId="77777777" w:rsidR="003429C8" w:rsidRPr="0000604D" w:rsidRDefault="00A32755" w:rsidP="007336D0">
      <w:pPr>
        <w:numPr>
          <w:ilvl w:val="0"/>
          <w:numId w:val="5"/>
        </w:numPr>
        <w:spacing w:after="240"/>
        <w:ind w:left="357" w:hanging="357"/>
        <w:rPr>
          <w:rFonts w:asciiTheme="minorHAnsi" w:hAnsiTheme="minorHAnsi"/>
          <w:b/>
        </w:rPr>
      </w:pPr>
      <w:r w:rsidRPr="009C72DA">
        <w:rPr>
          <w:rFonts w:asciiTheme="minorHAnsi" w:hAnsiTheme="minorHAnsi"/>
        </w:rPr>
        <w:t>r</w:t>
      </w:r>
      <w:r w:rsidR="00ED7FAD">
        <w:rPr>
          <w:rFonts w:asciiTheme="minorHAnsi" w:hAnsiTheme="minorHAnsi"/>
        </w:rPr>
        <w:t>emoving</w:t>
      </w:r>
      <w:r w:rsidR="003429C8" w:rsidRPr="009C72DA">
        <w:rPr>
          <w:rFonts w:asciiTheme="minorHAnsi" w:hAnsiTheme="minorHAnsi"/>
        </w:rPr>
        <w:t xml:space="preserve"> the </w:t>
      </w:r>
      <w:r w:rsidR="0000604D">
        <w:rPr>
          <w:rFonts w:asciiTheme="minorHAnsi" w:hAnsiTheme="minorHAnsi"/>
        </w:rPr>
        <w:t xml:space="preserve">public fund </w:t>
      </w:r>
      <w:r w:rsidR="003429C8" w:rsidRPr="009C72DA">
        <w:rPr>
          <w:rFonts w:asciiTheme="minorHAnsi" w:hAnsiTheme="minorHAnsi"/>
        </w:rPr>
        <w:t xml:space="preserve">requirement </w:t>
      </w:r>
      <w:r w:rsidR="0000604D">
        <w:rPr>
          <w:rFonts w:asciiTheme="minorHAnsi" w:hAnsiTheme="minorHAnsi"/>
        </w:rPr>
        <w:t xml:space="preserve">(such as requirement to have a </w:t>
      </w:r>
      <w:r w:rsidR="003429C8" w:rsidRPr="009C72DA">
        <w:rPr>
          <w:rFonts w:asciiTheme="minorHAnsi" w:hAnsiTheme="minorHAnsi"/>
        </w:rPr>
        <w:t>standalon</w:t>
      </w:r>
      <w:r w:rsidR="00ED7FAD">
        <w:rPr>
          <w:rFonts w:asciiTheme="minorHAnsi" w:hAnsiTheme="minorHAnsi"/>
        </w:rPr>
        <w:t>e bank account for public funds</w:t>
      </w:r>
      <w:r w:rsidR="0000604D">
        <w:rPr>
          <w:rFonts w:asciiTheme="minorHAnsi" w:hAnsiTheme="minorHAnsi"/>
        </w:rPr>
        <w:t>) and allow</w:t>
      </w:r>
      <w:r w:rsidR="00B466E9">
        <w:rPr>
          <w:rFonts w:asciiTheme="minorHAnsi" w:hAnsiTheme="minorHAnsi"/>
        </w:rPr>
        <w:t>ing</w:t>
      </w:r>
      <w:r w:rsidR="0000604D">
        <w:rPr>
          <w:rFonts w:asciiTheme="minorHAnsi" w:hAnsiTheme="minorHAnsi"/>
        </w:rPr>
        <w:t xml:space="preserve"> DGR entities to be endorsed in multiple categories</w:t>
      </w:r>
      <w:r w:rsidR="00B466E9">
        <w:rPr>
          <w:rFonts w:asciiTheme="minorHAnsi" w:hAnsiTheme="minorHAnsi"/>
        </w:rPr>
        <w:t>, or one general DGR category</w:t>
      </w:r>
      <w:r w:rsidR="0000604D">
        <w:rPr>
          <w:rFonts w:asciiTheme="minorHAnsi" w:hAnsiTheme="minorHAnsi"/>
        </w:rPr>
        <w:t xml:space="preserve">. </w:t>
      </w:r>
    </w:p>
    <w:p w14:paraId="3B518A3B" w14:textId="77777777" w:rsidR="009E6731" w:rsidRPr="0000604D" w:rsidRDefault="009E6731" w:rsidP="009C72DA">
      <w:pPr>
        <w:spacing w:after="120"/>
        <w:rPr>
          <w:b/>
          <w:i/>
        </w:rPr>
      </w:pPr>
      <w:r w:rsidRPr="0000604D">
        <w:rPr>
          <w:rFonts w:asciiTheme="minorHAnsi" w:hAnsiTheme="minorHAnsi"/>
          <w:b/>
          <w:i/>
        </w:rPr>
        <w:t>DGRs endorsed in perpetuity, without regular and systemic review</w:t>
      </w:r>
      <w:r w:rsidR="0000604D">
        <w:rPr>
          <w:rFonts w:asciiTheme="minorHAnsi" w:hAnsiTheme="minorHAnsi"/>
          <w:b/>
          <w:i/>
        </w:rPr>
        <w:t>.</w:t>
      </w:r>
    </w:p>
    <w:p w14:paraId="4230D213" w14:textId="77777777" w:rsidR="009E6731" w:rsidRPr="009C72DA" w:rsidRDefault="009E6731" w:rsidP="00B2213B">
      <w:pPr>
        <w:spacing w:after="120"/>
        <w:rPr>
          <w:rFonts w:asciiTheme="minorHAnsi" w:hAnsiTheme="minorHAnsi"/>
        </w:rPr>
      </w:pPr>
      <w:r w:rsidRPr="009C72DA">
        <w:rPr>
          <w:rFonts w:asciiTheme="minorHAnsi" w:hAnsiTheme="minorHAnsi"/>
        </w:rPr>
        <w:t xml:space="preserve">The </w:t>
      </w:r>
      <w:r w:rsidR="00C574B1">
        <w:rPr>
          <w:rFonts w:asciiTheme="minorHAnsi" w:hAnsiTheme="minorHAnsi"/>
        </w:rPr>
        <w:t xml:space="preserve">Partnership recognises that the </w:t>
      </w:r>
      <w:r w:rsidRPr="009C72DA">
        <w:rPr>
          <w:rFonts w:asciiTheme="minorHAnsi" w:hAnsiTheme="minorHAnsi"/>
        </w:rPr>
        <w:t>proposed reviews are a way to protect public co</w:t>
      </w:r>
      <w:r w:rsidR="00C574B1">
        <w:rPr>
          <w:rFonts w:asciiTheme="minorHAnsi" w:hAnsiTheme="minorHAnsi"/>
        </w:rPr>
        <w:t xml:space="preserve">nfidence in the charity sector. </w:t>
      </w:r>
      <w:r w:rsidRPr="009C72DA">
        <w:rPr>
          <w:rFonts w:asciiTheme="minorHAnsi" w:hAnsiTheme="minorHAnsi"/>
        </w:rPr>
        <w:t xml:space="preserve">However, the following </w:t>
      </w:r>
      <w:r w:rsidR="00C574B1">
        <w:rPr>
          <w:rFonts w:asciiTheme="minorHAnsi" w:hAnsiTheme="minorHAnsi"/>
        </w:rPr>
        <w:t>issues</w:t>
      </w:r>
      <w:r w:rsidRPr="009C72DA">
        <w:rPr>
          <w:rFonts w:asciiTheme="minorHAnsi" w:hAnsiTheme="minorHAnsi"/>
        </w:rPr>
        <w:t xml:space="preserve"> should be considered:</w:t>
      </w:r>
    </w:p>
    <w:p w14:paraId="65F7F82B" w14:textId="77777777" w:rsidR="006D3237" w:rsidRDefault="006D3237" w:rsidP="00B2213B">
      <w:pPr>
        <w:pStyle w:val="ListParagraph"/>
        <w:numPr>
          <w:ilvl w:val="0"/>
          <w:numId w:val="1"/>
        </w:numPr>
        <w:spacing w:after="120"/>
        <w:contextualSpacing w:val="0"/>
        <w:rPr>
          <w:rFonts w:asciiTheme="minorHAnsi" w:hAnsiTheme="minorHAnsi"/>
        </w:rPr>
      </w:pPr>
      <w:r>
        <w:rPr>
          <w:rFonts w:asciiTheme="minorHAnsi" w:hAnsiTheme="minorHAnsi"/>
        </w:rPr>
        <w:t>t</w:t>
      </w:r>
      <w:r w:rsidR="009E6731" w:rsidRPr="007C4461">
        <w:rPr>
          <w:rFonts w:asciiTheme="minorHAnsi" w:hAnsiTheme="minorHAnsi"/>
        </w:rPr>
        <w:t xml:space="preserve">he process should not be too onerous </w:t>
      </w:r>
      <w:r>
        <w:rPr>
          <w:rFonts w:asciiTheme="minorHAnsi" w:hAnsiTheme="minorHAnsi"/>
        </w:rPr>
        <w:t>nor too often</w:t>
      </w:r>
    </w:p>
    <w:p w14:paraId="74F87E95" w14:textId="77777777" w:rsidR="009E6731" w:rsidRDefault="006D3237" w:rsidP="00B2213B">
      <w:pPr>
        <w:pStyle w:val="ListParagraph"/>
        <w:numPr>
          <w:ilvl w:val="0"/>
          <w:numId w:val="1"/>
        </w:numPr>
        <w:spacing w:after="120"/>
        <w:contextualSpacing w:val="0"/>
        <w:rPr>
          <w:rFonts w:asciiTheme="minorHAnsi" w:hAnsiTheme="minorHAnsi"/>
        </w:rPr>
      </w:pPr>
      <w:r>
        <w:rPr>
          <w:rFonts w:asciiTheme="minorHAnsi" w:hAnsiTheme="minorHAnsi"/>
        </w:rPr>
        <w:t>t</w:t>
      </w:r>
      <w:r w:rsidR="00C574B1" w:rsidRPr="00A74A5C">
        <w:rPr>
          <w:rFonts w:asciiTheme="minorHAnsi" w:hAnsiTheme="minorHAnsi"/>
        </w:rPr>
        <w:t xml:space="preserve">he underpinning principle should be focused on assisting charities to meet the review standards </w:t>
      </w:r>
      <w:r w:rsidR="009E6731" w:rsidRPr="00A74A5C">
        <w:rPr>
          <w:rFonts w:asciiTheme="minorHAnsi" w:hAnsiTheme="minorHAnsi"/>
        </w:rPr>
        <w:t xml:space="preserve">before penalising </w:t>
      </w:r>
      <w:r w:rsidR="00C574B1" w:rsidRPr="00A74A5C">
        <w:rPr>
          <w:rFonts w:asciiTheme="minorHAnsi" w:hAnsiTheme="minorHAnsi"/>
        </w:rPr>
        <w:t>any inability to meet review standards</w:t>
      </w:r>
    </w:p>
    <w:p w14:paraId="0C72183B" w14:textId="77777777" w:rsidR="00B2213B" w:rsidRDefault="00B2213B" w:rsidP="00B2213B">
      <w:pPr>
        <w:spacing w:after="120"/>
        <w:ind w:left="360"/>
        <w:rPr>
          <w:rFonts w:asciiTheme="minorHAnsi" w:hAnsiTheme="minorHAnsi"/>
        </w:rPr>
      </w:pPr>
    </w:p>
    <w:p w14:paraId="783CD3BD" w14:textId="77777777" w:rsidR="00B2213B" w:rsidRPr="00B2213B" w:rsidRDefault="00B2213B" w:rsidP="00B2213B">
      <w:pPr>
        <w:spacing w:after="120"/>
        <w:ind w:left="360"/>
        <w:rPr>
          <w:rFonts w:asciiTheme="minorHAnsi" w:hAnsiTheme="minorHAnsi"/>
        </w:rPr>
      </w:pPr>
    </w:p>
    <w:p w14:paraId="7C1D08B8" w14:textId="77777777" w:rsidR="009E6731" w:rsidRPr="009C72DA" w:rsidRDefault="006D3237" w:rsidP="00B2213B">
      <w:pPr>
        <w:pStyle w:val="ListParagraph"/>
        <w:numPr>
          <w:ilvl w:val="0"/>
          <w:numId w:val="1"/>
        </w:numPr>
        <w:spacing w:after="120"/>
        <w:contextualSpacing w:val="0"/>
        <w:rPr>
          <w:rFonts w:asciiTheme="minorHAnsi" w:hAnsiTheme="minorHAnsi"/>
        </w:rPr>
      </w:pPr>
      <w:r>
        <w:rPr>
          <w:rFonts w:asciiTheme="minorHAnsi" w:hAnsiTheme="minorHAnsi"/>
        </w:rPr>
        <w:lastRenderedPageBreak/>
        <w:t>t</w:t>
      </w:r>
      <w:r w:rsidR="00C574B1">
        <w:rPr>
          <w:rFonts w:asciiTheme="minorHAnsi" w:hAnsiTheme="minorHAnsi"/>
        </w:rPr>
        <w:t xml:space="preserve">he </w:t>
      </w:r>
      <w:r w:rsidR="009E6731" w:rsidRPr="009C72DA">
        <w:rPr>
          <w:rFonts w:asciiTheme="minorHAnsi" w:hAnsiTheme="minorHAnsi"/>
        </w:rPr>
        <w:t>reviews sho</w:t>
      </w:r>
      <w:r>
        <w:rPr>
          <w:rFonts w:asciiTheme="minorHAnsi" w:hAnsiTheme="minorHAnsi"/>
        </w:rPr>
        <w:t>uld be risk-based, prioritising</w:t>
      </w:r>
    </w:p>
    <w:p w14:paraId="00E47EF2" w14:textId="77777777" w:rsidR="009E6731" w:rsidRPr="009C72DA" w:rsidRDefault="009E6731" w:rsidP="009C72DA">
      <w:pPr>
        <w:pStyle w:val="ListParagraph"/>
        <w:numPr>
          <w:ilvl w:val="1"/>
          <w:numId w:val="1"/>
        </w:numPr>
        <w:spacing w:after="120"/>
        <w:rPr>
          <w:rFonts w:asciiTheme="minorHAnsi" w:hAnsiTheme="minorHAnsi"/>
        </w:rPr>
      </w:pPr>
      <w:r w:rsidRPr="009C72DA">
        <w:rPr>
          <w:rFonts w:asciiTheme="minorHAnsi" w:hAnsiTheme="minorHAnsi"/>
        </w:rPr>
        <w:t xml:space="preserve">those charities which </w:t>
      </w:r>
      <w:r w:rsidR="00C574B1">
        <w:rPr>
          <w:rFonts w:asciiTheme="minorHAnsi" w:hAnsiTheme="minorHAnsi"/>
        </w:rPr>
        <w:t>have been flagged as ‘</w:t>
      </w:r>
      <w:r w:rsidRPr="009C72DA">
        <w:rPr>
          <w:rFonts w:asciiTheme="minorHAnsi" w:hAnsiTheme="minorHAnsi"/>
        </w:rPr>
        <w:t>at risk</w:t>
      </w:r>
      <w:r w:rsidR="00C574B1">
        <w:rPr>
          <w:rFonts w:asciiTheme="minorHAnsi" w:hAnsiTheme="minorHAnsi"/>
        </w:rPr>
        <w:t>’ of non-compliance and meeting review standards</w:t>
      </w:r>
      <w:r w:rsidR="006D3237">
        <w:rPr>
          <w:rFonts w:asciiTheme="minorHAnsi" w:hAnsiTheme="minorHAnsi"/>
        </w:rPr>
        <w:t xml:space="preserve"> being investigated further</w:t>
      </w:r>
    </w:p>
    <w:p w14:paraId="58E6C661" w14:textId="77777777" w:rsidR="009E6731" w:rsidRPr="009C72DA" w:rsidRDefault="009E6731" w:rsidP="009C72DA">
      <w:pPr>
        <w:pStyle w:val="ListParagraph"/>
        <w:numPr>
          <w:ilvl w:val="1"/>
          <w:numId w:val="1"/>
        </w:numPr>
        <w:spacing w:after="120"/>
        <w:rPr>
          <w:rFonts w:asciiTheme="minorHAnsi" w:hAnsiTheme="minorHAnsi"/>
        </w:rPr>
      </w:pPr>
      <w:r w:rsidRPr="009C72DA">
        <w:rPr>
          <w:rFonts w:asciiTheme="minorHAnsi" w:hAnsiTheme="minorHAnsi"/>
        </w:rPr>
        <w:t>larger charities or thos</w:t>
      </w:r>
      <w:r w:rsidR="00C574B1">
        <w:rPr>
          <w:rFonts w:asciiTheme="minorHAnsi" w:hAnsiTheme="minorHAnsi"/>
        </w:rPr>
        <w:t>e with the greater capab</w:t>
      </w:r>
      <w:r w:rsidR="006D3237">
        <w:rPr>
          <w:rFonts w:asciiTheme="minorHAnsi" w:hAnsiTheme="minorHAnsi"/>
        </w:rPr>
        <w:t>ilities being prioritised first</w:t>
      </w:r>
    </w:p>
    <w:p w14:paraId="6F6FC2BB" w14:textId="77777777" w:rsidR="009E6731" w:rsidRPr="009C72DA" w:rsidRDefault="009E6731" w:rsidP="00B2213B">
      <w:pPr>
        <w:spacing w:after="120"/>
        <w:rPr>
          <w:rFonts w:asciiTheme="minorHAnsi" w:hAnsiTheme="minorHAnsi"/>
        </w:rPr>
      </w:pPr>
      <w:r w:rsidRPr="009C72DA">
        <w:rPr>
          <w:rFonts w:asciiTheme="minorHAnsi" w:hAnsiTheme="minorHAnsi"/>
        </w:rPr>
        <w:t xml:space="preserve">To avoid potential negative ramifications, </w:t>
      </w:r>
      <w:r w:rsidR="005D1318">
        <w:rPr>
          <w:rFonts w:asciiTheme="minorHAnsi" w:hAnsiTheme="minorHAnsi"/>
        </w:rPr>
        <w:t xml:space="preserve">greater clarity is sought on </w:t>
      </w:r>
      <w:r w:rsidRPr="009C72DA">
        <w:rPr>
          <w:rFonts w:asciiTheme="minorHAnsi" w:hAnsiTheme="minorHAnsi"/>
        </w:rPr>
        <w:t xml:space="preserve">the purpose of </w:t>
      </w:r>
      <w:r w:rsidR="005D1318">
        <w:rPr>
          <w:rFonts w:asciiTheme="minorHAnsi" w:hAnsiTheme="minorHAnsi"/>
        </w:rPr>
        <w:t>any</w:t>
      </w:r>
      <w:r w:rsidRPr="009C72DA">
        <w:rPr>
          <w:rFonts w:asciiTheme="minorHAnsi" w:hAnsiTheme="minorHAnsi"/>
        </w:rPr>
        <w:t xml:space="preserve"> review:</w:t>
      </w:r>
    </w:p>
    <w:p w14:paraId="2D8E731A" w14:textId="77777777" w:rsidR="009E6731" w:rsidRPr="009C72DA" w:rsidRDefault="003429C8" w:rsidP="009C72DA">
      <w:pPr>
        <w:pStyle w:val="ListParagraph"/>
        <w:numPr>
          <w:ilvl w:val="0"/>
          <w:numId w:val="3"/>
        </w:numPr>
        <w:spacing w:after="120"/>
        <w:rPr>
          <w:rFonts w:asciiTheme="minorHAnsi" w:hAnsiTheme="minorHAnsi"/>
        </w:rPr>
      </w:pPr>
      <w:r w:rsidRPr="009C72DA">
        <w:rPr>
          <w:rFonts w:asciiTheme="minorHAnsi" w:hAnsiTheme="minorHAnsi"/>
        </w:rPr>
        <w:t>w</w:t>
      </w:r>
      <w:r w:rsidR="009E6731" w:rsidRPr="009C72DA">
        <w:rPr>
          <w:rFonts w:asciiTheme="minorHAnsi" w:hAnsiTheme="minorHAnsi"/>
        </w:rPr>
        <w:t>hat the review will focus on</w:t>
      </w:r>
    </w:p>
    <w:p w14:paraId="4CE266F7" w14:textId="77777777" w:rsidR="009E6731" w:rsidRPr="009C72DA" w:rsidRDefault="003429C8" w:rsidP="009C72DA">
      <w:pPr>
        <w:pStyle w:val="ListParagraph"/>
        <w:numPr>
          <w:ilvl w:val="0"/>
          <w:numId w:val="3"/>
        </w:numPr>
        <w:spacing w:after="120"/>
        <w:rPr>
          <w:rFonts w:asciiTheme="minorHAnsi" w:hAnsiTheme="minorHAnsi"/>
        </w:rPr>
      </w:pPr>
      <w:r w:rsidRPr="009C72DA">
        <w:rPr>
          <w:rFonts w:asciiTheme="minorHAnsi" w:hAnsiTheme="minorHAnsi"/>
        </w:rPr>
        <w:t>w</w:t>
      </w:r>
      <w:r w:rsidR="009E6731" w:rsidRPr="009C72DA">
        <w:rPr>
          <w:rFonts w:asciiTheme="minorHAnsi" w:hAnsiTheme="minorHAnsi"/>
        </w:rPr>
        <w:t>ill it be linked to impact, v</w:t>
      </w:r>
      <w:r w:rsidRPr="009C72DA">
        <w:rPr>
          <w:rFonts w:asciiTheme="minorHAnsi" w:hAnsiTheme="minorHAnsi"/>
        </w:rPr>
        <w:t xml:space="preserve">iability or success of </w:t>
      </w:r>
      <w:r w:rsidR="005D1318">
        <w:rPr>
          <w:rFonts w:asciiTheme="minorHAnsi" w:hAnsiTheme="minorHAnsi"/>
        </w:rPr>
        <w:t>the charities’</w:t>
      </w:r>
      <w:r w:rsidR="006D3237">
        <w:rPr>
          <w:rFonts w:asciiTheme="minorHAnsi" w:hAnsiTheme="minorHAnsi"/>
        </w:rPr>
        <w:t xml:space="preserve"> work</w:t>
      </w:r>
    </w:p>
    <w:p w14:paraId="2494E640" w14:textId="77777777" w:rsidR="009E6731" w:rsidRPr="009C72DA" w:rsidRDefault="003429C8" w:rsidP="009C72DA">
      <w:pPr>
        <w:pStyle w:val="ListParagraph"/>
        <w:numPr>
          <w:ilvl w:val="0"/>
          <w:numId w:val="3"/>
        </w:numPr>
        <w:spacing w:after="120"/>
        <w:rPr>
          <w:rFonts w:asciiTheme="minorHAnsi" w:hAnsiTheme="minorHAnsi"/>
        </w:rPr>
      </w:pPr>
      <w:r w:rsidRPr="009C72DA">
        <w:rPr>
          <w:rFonts w:asciiTheme="minorHAnsi" w:hAnsiTheme="minorHAnsi"/>
        </w:rPr>
        <w:t>w</w:t>
      </w:r>
      <w:r w:rsidR="009E6731" w:rsidRPr="009C72DA">
        <w:rPr>
          <w:rFonts w:asciiTheme="minorHAnsi" w:hAnsiTheme="minorHAnsi"/>
        </w:rPr>
        <w:t xml:space="preserve">hat criteria needs to be </w:t>
      </w:r>
      <w:r w:rsidR="006D3237">
        <w:rPr>
          <w:rFonts w:asciiTheme="minorHAnsi" w:hAnsiTheme="minorHAnsi"/>
        </w:rPr>
        <w:t>satisfied to retain endorsement</w:t>
      </w:r>
    </w:p>
    <w:p w14:paraId="7F51FAE4" w14:textId="77777777" w:rsidR="009E6731" w:rsidRPr="009C72DA" w:rsidRDefault="009E6731" w:rsidP="007336D0">
      <w:pPr>
        <w:spacing w:after="240"/>
        <w:rPr>
          <w:rFonts w:asciiTheme="minorHAnsi" w:hAnsiTheme="minorHAnsi"/>
        </w:rPr>
      </w:pPr>
      <w:r w:rsidRPr="009C72DA">
        <w:rPr>
          <w:rFonts w:asciiTheme="minorHAnsi" w:hAnsiTheme="minorHAnsi"/>
        </w:rPr>
        <w:t>The Partnership notes that it will be</w:t>
      </w:r>
      <w:r w:rsidRPr="009C72DA">
        <w:rPr>
          <w:rFonts w:asciiTheme="minorHAnsi" w:hAnsiTheme="minorHAnsi"/>
          <w:b/>
        </w:rPr>
        <w:t xml:space="preserve"> </w:t>
      </w:r>
      <w:r w:rsidRPr="009C72DA">
        <w:rPr>
          <w:rFonts w:asciiTheme="minorHAnsi" w:hAnsiTheme="minorHAnsi"/>
        </w:rPr>
        <w:t xml:space="preserve">important that ACNC and ATO be provided with sufficient </w:t>
      </w:r>
      <w:r w:rsidR="005D1318">
        <w:rPr>
          <w:rFonts w:asciiTheme="minorHAnsi" w:hAnsiTheme="minorHAnsi"/>
        </w:rPr>
        <w:t xml:space="preserve">resources to implement a robust, consistent and transparent </w:t>
      </w:r>
      <w:r w:rsidRPr="009C72DA">
        <w:rPr>
          <w:rFonts w:asciiTheme="minorHAnsi" w:hAnsiTheme="minorHAnsi"/>
        </w:rPr>
        <w:t>approach.</w:t>
      </w:r>
    </w:p>
    <w:p w14:paraId="0712EE46" w14:textId="77777777" w:rsidR="009E6731" w:rsidRPr="005D1318" w:rsidRDefault="009E6731" w:rsidP="009C72DA">
      <w:pPr>
        <w:spacing w:after="120"/>
        <w:rPr>
          <w:rFonts w:asciiTheme="minorHAnsi" w:hAnsiTheme="minorHAnsi"/>
          <w:b/>
          <w:i/>
        </w:rPr>
      </w:pPr>
      <w:r w:rsidRPr="005D1318">
        <w:rPr>
          <w:rFonts w:asciiTheme="minorHAnsi" w:hAnsiTheme="minorHAnsi"/>
          <w:b/>
          <w:i/>
        </w:rPr>
        <w:t>Specific listing of DGRs by Government</w:t>
      </w:r>
      <w:r w:rsidR="005D1318">
        <w:rPr>
          <w:rFonts w:asciiTheme="minorHAnsi" w:hAnsiTheme="minorHAnsi"/>
          <w:b/>
          <w:i/>
        </w:rPr>
        <w:t>.</w:t>
      </w:r>
    </w:p>
    <w:p w14:paraId="7C4BA734" w14:textId="57DFA54A" w:rsidR="00CF1372" w:rsidRDefault="00CF1372" w:rsidP="009C72DA">
      <w:pPr>
        <w:spacing w:after="120"/>
        <w:rPr>
          <w:rFonts w:asciiTheme="minorHAnsi" w:hAnsiTheme="minorHAnsi" w:cstheme="minorHAnsi"/>
        </w:rPr>
      </w:pPr>
      <w:r w:rsidRPr="00CF1372">
        <w:rPr>
          <w:rFonts w:asciiTheme="minorHAnsi" w:hAnsiTheme="minorHAnsi" w:cstheme="minorHAnsi"/>
        </w:rPr>
        <w:t xml:space="preserve">Specifically listed DGRs are </w:t>
      </w:r>
      <w:r w:rsidR="00B2213B">
        <w:rPr>
          <w:rFonts w:asciiTheme="minorHAnsi" w:hAnsiTheme="minorHAnsi" w:cstheme="minorHAnsi"/>
        </w:rPr>
        <w:t xml:space="preserve">currently </w:t>
      </w:r>
      <w:r w:rsidRPr="00CF1372">
        <w:rPr>
          <w:rFonts w:asciiTheme="minorHAnsi" w:hAnsiTheme="minorHAnsi" w:cstheme="minorHAnsi"/>
        </w:rPr>
        <w:t xml:space="preserve">necessary because of the inadequacy of the existing DGR framework. A general sunset rule could increase the red tape burden on organisations with a DGR specific listing, as they would need to re-apply for a specific listing, which can be a complex and time-consuming process. </w:t>
      </w:r>
      <w:r w:rsidR="002A1A00">
        <w:rPr>
          <w:rFonts w:asciiTheme="minorHAnsi" w:hAnsiTheme="minorHAnsi" w:cstheme="minorHAnsi"/>
        </w:rPr>
        <w:t xml:space="preserve"> Any process </w:t>
      </w:r>
      <w:r w:rsidR="00B2213B">
        <w:rPr>
          <w:rFonts w:asciiTheme="minorHAnsi" w:hAnsiTheme="minorHAnsi" w:cstheme="minorHAnsi"/>
        </w:rPr>
        <w:t xml:space="preserve">change </w:t>
      </w:r>
      <w:r w:rsidR="002A1A00">
        <w:rPr>
          <w:rFonts w:asciiTheme="minorHAnsi" w:hAnsiTheme="minorHAnsi" w:cstheme="minorHAnsi"/>
        </w:rPr>
        <w:t>should reduce not increase complexity.  Ideally these specific charities could be transitioned to a new reporting process to minimise complexity and cost.</w:t>
      </w:r>
    </w:p>
    <w:p w14:paraId="7D5A636F" w14:textId="77777777" w:rsidR="00320206" w:rsidRPr="00320206" w:rsidRDefault="00A32755" w:rsidP="007336D0">
      <w:pPr>
        <w:spacing w:after="240"/>
        <w:rPr>
          <w:rFonts w:asciiTheme="minorHAnsi" w:hAnsiTheme="minorHAnsi"/>
          <w:b/>
          <w:i/>
          <w:highlight w:val="yellow"/>
        </w:rPr>
      </w:pPr>
      <w:r w:rsidRPr="009C72DA">
        <w:rPr>
          <w:rFonts w:asciiTheme="minorHAnsi" w:hAnsiTheme="minorHAnsi"/>
        </w:rPr>
        <w:t>The context in which specifically listed DGRs are approved may change over time and this need</w:t>
      </w:r>
      <w:r w:rsidR="003C68B8">
        <w:rPr>
          <w:rFonts w:asciiTheme="minorHAnsi" w:hAnsiTheme="minorHAnsi"/>
        </w:rPr>
        <w:t>s</w:t>
      </w:r>
      <w:r w:rsidRPr="009C72DA">
        <w:rPr>
          <w:rFonts w:asciiTheme="minorHAnsi" w:hAnsiTheme="minorHAnsi"/>
        </w:rPr>
        <w:t xml:space="preserve"> to be taken into account. The onus should be on the ATO to investigate and ensure compliance based on risk. Organisations should be dis-endorsed for DGR where they fail to meet the eligibility requirements or where there is evidence of fraud or non-compliance.</w:t>
      </w:r>
      <w:r w:rsidR="00CF1372">
        <w:rPr>
          <w:rFonts w:asciiTheme="minorHAnsi" w:hAnsiTheme="minorHAnsi"/>
        </w:rPr>
        <w:t xml:space="preserve"> The Partnership believes the proposed review program will identify where DGR endorsement is no longer needed. The Partnership does not </w:t>
      </w:r>
      <w:r w:rsidR="002A1A00">
        <w:rPr>
          <w:rFonts w:asciiTheme="minorHAnsi" w:hAnsiTheme="minorHAnsi"/>
        </w:rPr>
        <w:t xml:space="preserve">in principle </w:t>
      </w:r>
      <w:r w:rsidR="00CF1372">
        <w:rPr>
          <w:rFonts w:asciiTheme="minorHAnsi" w:hAnsiTheme="minorHAnsi"/>
        </w:rPr>
        <w:t>support a sunset rule.</w:t>
      </w:r>
    </w:p>
    <w:p w14:paraId="2D39B50A" w14:textId="77777777" w:rsidR="007F790E" w:rsidRDefault="007F790E" w:rsidP="00842B9E">
      <w:pPr>
        <w:autoSpaceDE w:val="0"/>
        <w:autoSpaceDN w:val="0"/>
        <w:adjustRightInd w:val="0"/>
        <w:spacing w:after="120"/>
        <w:rPr>
          <w:rFonts w:asciiTheme="minorHAnsi" w:hAnsiTheme="minorHAnsi" w:cs="Arial"/>
          <w:b/>
          <w:bCs/>
          <w:iCs/>
          <w:color w:val="000000"/>
        </w:rPr>
      </w:pPr>
    </w:p>
    <w:p w14:paraId="0FA588BF" w14:textId="77777777" w:rsidR="00320206" w:rsidRPr="007336D0" w:rsidRDefault="00320206" w:rsidP="00842B9E">
      <w:pPr>
        <w:autoSpaceDE w:val="0"/>
        <w:autoSpaceDN w:val="0"/>
        <w:adjustRightInd w:val="0"/>
        <w:spacing w:after="120"/>
        <w:rPr>
          <w:rFonts w:asciiTheme="minorHAnsi" w:hAnsiTheme="minorHAnsi" w:cs="Arial"/>
          <w:b/>
          <w:bCs/>
          <w:iCs/>
          <w:color w:val="000000"/>
        </w:rPr>
      </w:pPr>
      <w:r w:rsidRPr="007336D0">
        <w:rPr>
          <w:rFonts w:asciiTheme="minorHAnsi" w:hAnsiTheme="minorHAnsi" w:cs="Arial"/>
          <w:b/>
          <w:bCs/>
          <w:iCs/>
          <w:color w:val="000000"/>
        </w:rPr>
        <w:t>Other issues</w:t>
      </w:r>
    </w:p>
    <w:p w14:paraId="5C7BBEC2" w14:textId="77777777" w:rsidR="00320206" w:rsidRPr="00320206" w:rsidRDefault="00320206" w:rsidP="00842B9E">
      <w:pPr>
        <w:autoSpaceDE w:val="0"/>
        <w:autoSpaceDN w:val="0"/>
        <w:adjustRightInd w:val="0"/>
        <w:spacing w:after="120"/>
        <w:rPr>
          <w:rFonts w:asciiTheme="minorHAnsi" w:hAnsiTheme="minorHAnsi" w:cs="Arial"/>
          <w:bCs/>
          <w:iCs/>
          <w:color w:val="000000"/>
        </w:rPr>
      </w:pPr>
      <w:r>
        <w:rPr>
          <w:rFonts w:asciiTheme="minorHAnsi" w:hAnsiTheme="minorHAnsi" w:cs="Arial"/>
          <w:bCs/>
          <w:iCs/>
          <w:color w:val="000000"/>
        </w:rPr>
        <w:t xml:space="preserve">There are two issues we believe should be considered as part of the DGR Reform discussions, being DGR endorsement for Community Foundations and changes to </w:t>
      </w:r>
      <w:r w:rsidRPr="00320206">
        <w:rPr>
          <w:rFonts w:asciiTheme="minorHAnsi" w:hAnsiTheme="minorHAnsi" w:cstheme="minorHAnsi"/>
        </w:rPr>
        <w:t xml:space="preserve">Section 50-50 of the </w:t>
      </w:r>
      <w:r w:rsidRPr="00320206">
        <w:rPr>
          <w:rFonts w:asciiTheme="minorHAnsi" w:hAnsiTheme="minorHAnsi" w:cstheme="minorHAnsi"/>
          <w:iCs/>
        </w:rPr>
        <w:t>Income Tax Assessment Act 1997.</w:t>
      </w:r>
    </w:p>
    <w:p w14:paraId="1251FB3C" w14:textId="77777777" w:rsidR="00CF1372" w:rsidRPr="00320206" w:rsidRDefault="00842B9E" w:rsidP="00842B9E">
      <w:pPr>
        <w:autoSpaceDE w:val="0"/>
        <w:autoSpaceDN w:val="0"/>
        <w:adjustRightInd w:val="0"/>
        <w:spacing w:after="120"/>
        <w:rPr>
          <w:rFonts w:asciiTheme="minorHAnsi" w:hAnsiTheme="minorHAnsi" w:cs="Arial"/>
          <w:b/>
          <w:color w:val="000000"/>
        </w:rPr>
      </w:pPr>
      <w:r w:rsidRPr="00320206">
        <w:rPr>
          <w:rFonts w:asciiTheme="minorHAnsi" w:hAnsiTheme="minorHAnsi" w:cs="Arial"/>
          <w:b/>
          <w:bCs/>
          <w:i/>
          <w:iCs/>
          <w:color w:val="000000"/>
        </w:rPr>
        <w:t xml:space="preserve">DGR </w:t>
      </w:r>
      <w:r w:rsidR="00320206" w:rsidRPr="00320206">
        <w:rPr>
          <w:rFonts w:asciiTheme="minorHAnsi" w:hAnsiTheme="minorHAnsi" w:cs="Arial"/>
          <w:b/>
          <w:bCs/>
          <w:i/>
          <w:iCs/>
          <w:color w:val="000000"/>
        </w:rPr>
        <w:t>endorsement or category</w:t>
      </w:r>
      <w:r w:rsidRPr="00320206">
        <w:rPr>
          <w:rFonts w:asciiTheme="minorHAnsi" w:hAnsiTheme="minorHAnsi" w:cs="Arial"/>
          <w:b/>
          <w:bCs/>
          <w:i/>
          <w:iCs/>
          <w:color w:val="000000"/>
        </w:rPr>
        <w:t xml:space="preserve"> for </w:t>
      </w:r>
      <w:r w:rsidR="00CF1372" w:rsidRPr="00320206">
        <w:rPr>
          <w:rFonts w:asciiTheme="minorHAnsi" w:hAnsiTheme="minorHAnsi" w:cs="Arial"/>
          <w:b/>
          <w:bCs/>
          <w:i/>
          <w:iCs/>
          <w:color w:val="000000"/>
        </w:rPr>
        <w:t>Community Foundation</w:t>
      </w:r>
      <w:r w:rsidRPr="00320206">
        <w:rPr>
          <w:rFonts w:asciiTheme="minorHAnsi" w:hAnsiTheme="minorHAnsi" w:cs="Arial"/>
          <w:b/>
          <w:bCs/>
          <w:i/>
          <w:iCs/>
          <w:color w:val="000000"/>
        </w:rPr>
        <w:t>s</w:t>
      </w:r>
    </w:p>
    <w:p w14:paraId="6E1FEFB5" w14:textId="77777777" w:rsidR="00AA420A" w:rsidRPr="008A11EB" w:rsidRDefault="00AA420A" w:rsidP="00AA420A">
      <w:pPr>
        <w:pStyle w:val="NormalWeb"/>
        <w:shd w:val="clear" w:color="auto" w:fill="FFFFFF"/>
        <w:spacing w:before="0" w:beforeAutospacing="0" w:after="120" w:afterAutospacing="0" w:line="276" w:lineRule="auto"/>
        <w:textAlignment w:val="baseline"/>
        <w:rPr>
          <w:rFonts w:asciiTheme="minorHAnsi" w:hAnsiTheme="minorHAnsi" w:cstheme="minorHAnsi"/>
          <w:sz w:val="22"/>
          <w:szCs w:val="22"/>
        </w:rPr>
      </w:pPr>
      <w:r w:rsidRPr="008A11EB">
        <w:rPr>
          <w:rFonts w:asciiTheme="minorHAnsi" w:hAnsiTheme="minorHAnsi" w:cstheme="minorHAnsi"/>
          <w:sz w:val="22"/>
          <w:szCs w:val="22"/>
        </w:rPr>
        <w:t>There are at least 36 community foundations in Australia, which have collectively given over $97 million in grants to not-for-profits and charities in their communities.</w:t>
      </w:r>
      <w:r w:rsidR="00320206" w:rsidRPr="008A11EB">
        <w:rPr>
          <w:rFonts w:asciiTheme="minorHAnsi" w:hAnsiTheme="minorHAnsi" w:cstheme="minorHAnsi"/>
          <w:sz w:val="22"/>
          <w:szCs w:val="22"/>
        </w:rPr>
        <w:t xml:space="preserve"> </w:t>
      </w:r>
      <w:r w:rsidR="00320206" w:rsidRPr="008A11EB">
        <w:rPr>
          <w:rFonts w:asciiTheme="minorHAnsi" w:hAnsiTheme="minorHAnsi" w:cs="Arial"/>
          <w:bCs/>
          <w:iCs/>
          <w:color w:val="000000"/>
          <w:sz w:val="22"/>
          <w:szCs w:val="22"/>
        </w:rPr>
        <w:t>The current DGR categories and framework do not enable community to take philanthropy partnerships into their own hands.</w:t>
      </w:r>
    </w:p>
    <w:p w14:paraId="5A3BD476" w14:textId="77777777" w:rsidR="00320206" w:rsidRPr="008A11EB" w:rsidRDefault="00320206" w:rsidP="00320206">
      <w:pPr>
        <w:pStyle w:val="NormalWeb"/>
        <w:shd w:val="clear" w:color="auto" w:fill="FFFFFF"/>
        <w:spacing w:before="0" w:beforeAutospacing="0" w:after="120" w:afterAutospacing="0" w:line="276" w:lineRule="auto"/>
        <w:textAlignment w:val="baseline"/>
        <w:rPr>
          <w:rFonts w:asciiTheme="minorHAnsi" w:hAnsiTheme="minorHAnsi" w:cstheme="minorHAnsi"/>
          <w:sz w:val="22"/>
          <w:szCs w:val="22"/>
        </w:rPr>
      </w:pPr>
      <w:r w:rsidRPr="008A11EB">
        <w:rPr>
          <w:rFonts w:asciiTheme="minorHAnsi" w:hAnsiTheme="minorHAnsi" w:cstheme="minorHAnsi"/>
          <w:sz w:val="22"/>
          <w:szCs w:val="22"/>
        </w:rPr>
        <w:t xml:space="preserve">Community foundations are place-based, independent, community-owned philanthropic vehicles. </w:t>
      </w:r>
      <w:r w:rsidR="00AA420A" w:rsidRPr="008A11EB">
        <w:rPr>
          <w:rFonts w:asciiTheme="minorHAnsi" w:hAnsiTheme="minorHAnsi" w:cstheme="minorHAnsi"/>
          <w:sz w:val="22"/>
          <w:szCs w:val="22"/>
        </w:rPr>
        <w:t xml:space="preserve">Community foundations are a valuable and unique form of community infrastructure, which seek to empower communities to address local challenges themselves. They act as a leader, connecter, </w:t>
      </w:r>
      <w:r w:rsidR="00AA420A" w:rsidRPr="008A11EB">
        <w:rPr>
          <w:rFonts w:asciiTheme="minorHAnsi" w:hAnsiTheme="minorHAnsi" w:cstheme="minorHAnsi"/>
          <w:sz w:val="22"/>
          <w:szCs w:val="22"/>
        </w:rPr>
        <w:lastRenderedPageBreak/>
        <w:t xml:space="preserve">convenor and funder within communities and encourage civic engagement, volunteering and philanthropy. </w:t>
      </w:r>
    </w:p>
    <w:p w14:paraId="44528750" w14:textId="77777777" w:rsidR="00CF1372" w:rsidRDefault="00CF1372" w:rsidP="00AA420A">
      <w:pPr>
        <w:autoSpaceDE w:val="0"/>
        <w:autoSpaceDN w:val="0"/>
        <w:adjustRightInd w:val="0"/>
        <w:spacing w:after="120"/>
        <w:rPr>
          <w:rFonts w:asciiTheme="minorHAnsi" w:hAnsiTheme="minorHAnsi" w:cs="Arial"/>
          <w:bCs/>
          <w:iCs/>
          <w:color w:val="000000"/>
        </w:rPr>
      </w:pPr>
      <w:r w:rsidRPr="008A11EB">
        <w:rPr>
          <w:rFonts w:asciiTheme="minorHAnsi" w:hAnsiTheme="minorHAnsi" w:cstheme="minorHAnsi"/>
          <w:bCs/>
          <w:iCs/>
        </w:rPr>
        <w:t xml:space="preserve">Ideally Community Foundations would be set up as an incorporated body and be able to carry out all </w:t>
      </w:r>
      <w:r w:rsidRPr="008A11EB">
        <w:rPr>
          <w:rFonts w:asciiTheme="minorHAnsi" w:hAnsiTheme="minorHAnsi" w:cstheme="minorHAnsi"/>
          <w:bCs/>
          <w:iCs/>
          <w:color w:val="000000"/>
        </w:rPr>
        <w:t>the activities noted above in one structure, able to receive tax deductible donations and grants from</w:t>
      </w:r>
      <w:r w:rsidRPr="00842B9E">
        <w:rPr>
          <w:rFonts w:asciiTheme="minorHAnsi" w:hAnsiTheme="minorHAnsi" w:cs="Arial"/>
          <w:bCs/>
          <w:iCs/>
          <w:color w:val="000000"/>
        </w:rPr>
        <w:t xml:space="preserve"> other private and public ancillary funds and carry out the work in, with and for the community benefit. This would greatly increase community philanthropy throughout urban and rural Australia. </w:t>
      </w:r>
    </w:p>
    <w:p w14:paraId="2D1DD6BD" w14:textId="58A445D8" w:rsidR="00AA420A" w:rsidRPr="00AA420A" w:rsidRDefault="00AA420A" w:rsidP="00AA420A">
      <w:pPr>
        <w:autoSpaceDE w:val="0"/>
        <w:autoSpaceDN w:val="0"/>
        <w:adjustRightInd w:val="0"/>
        <w:spacing w:after="120"/>
        <w:rPr>
          <w:rFonts w:asciiTheme="minorHAnsi" w:hAnsiTheme="minorHAnsi" w:cstheme="minorHAnsi"/>
        </w:rPr>
      </w:pPr>
      <w:r w:rsidRPr="00AA420A">
        <w:rPr>
          <w:rFonts w:asciiTheme="minorHAnsi" w:hAnsiTheme="minorHAnsi" w:cstheme="minorHAnsi"/>
        </w:rPr>
        <w:t>Community foundations generally operate a ‘public ancillary fund’ (</w:t>
      </w:r>
      <w:r w:rsidR="00B2213B">
        <w:rPr>
          <w:rFonts w:asciiTheme="minorHAnsi" w:hAnsiTheme="minorHAnsi" w:cstheme="minorHAnsi"/>
        </w:rPr>
        <w:t xml:space="preserve">PuAF), </w:t>
      </w:r>
      <w:r w:rsidRPr="00AA420A">
        <w:rPr>
          <w:rFonts w:asciiTheme="minorHAnsi" w:hAnsiTheme="minorHAnsi" w:cstheme="minorHAnsi"/>
        </w:rPr>
        <w:t>an ‘It</w:t>
      </w:r>
      <w:r w:rsidR="00B2213B">
        <w:rPr>
          <w:rFonts w:asciiTheme="minorHAnsi" w:hAnsiTheme="minorHAnsi" w:cstheme="minorHAnsi"/>
        </w:rPr>
        <w:t>em 2’ deductible gift recipient which</w:t>
      </w:r>
      <w:r w:rsidRPr="00AA420A">
        <w:rPr>
          <w:rFonts w:asciiTheme="minorHAnsi" w:hAnsiTheme="minorHAnsi" w:cstheme="minorHAnsi"/>
        </w:rPr>
        <w:t xml:space="preserve"> imposes considerable restrictions on their operations: </w:t>
      </w:r>
    </w:p>
    <w:p w14:paraId="6CC3DFDB" w14:textId="10DE58A8" w:rsidR="00AA420A" w:rsidRPr="00AA420A" w:rsidRDefault="00AA420A" w:rsidP="00AA420A">
      <w:pPr>
        <w:pStyle w:val="ListParagraph"/>
        <w:numPr>
          <w:ilvl w:val="0"/>
          <w:numId w:val="9"/>
        </w:numPr>
        <w:autoSpaceDE w:val="0"/>
        <w:autoSpaceDN w:val="0"/>
        <w:adjustRightInd w:val="0"/>
        <w:spacing w:after="120"/>
        <w:rPr>
          <w:rFonts w:asciiTheme="minorHAnsi" w:hAnsiTheme="minorHAnsi" w:cstheme="minorHAnsi"/>
        </w:rPr>
      </w:pPr>
      <w:r w:rsidRPr="00AA420A">
        <w:rPr>
          <w:rFonts w:asciiTheme="minorHAnsi" w:hAnsiTheme="minorHAnsi" w:cstheme="minorHAnsi"/>
        </w:rPr>
        <w:t xml:space="preserve">They cannot accept donations from one of the most common forms of private foundation, </w:t>
      </w:r>
      <w:r w:rsidR="00B2213B">
        <w:rPr>
          <w:rFonts w:asciiTheme="minorHAnsi" w:hAnsiTheme="minorHAnsi" w:cstheme="minorHAnsi"/>
        </w:rPr>
        <w:t>PAFs</w:t>
      </w:r>
      <w:r w:rsidRPr="00AA420A">
        <w:rPr>
          <w:rFonts w:asciiTheme="minorHAnsi" w:hAnsiTheme="minorHAnsi" w:cstheme="minorHAnsi"/>
        </w:rPr>
        <w:t xml:space="preserve">, as </w:t>
      </w:r>
      <w:r w:rsidR="00B2213B">
        <w:rPr>
          <w:rFonts w:asciiTheme="minorHAnsi" w:hAnsiTheme="minorHAnsi" w:cstheme="minorHAnsi"/>
        </w:rPr>
        <w:t xml:space="preserve">PAFs </w:t>
      </w:r>
      <w:r w:rsidRPr="00AA420A">
        <w:rPr>
          <w:rFonts w:asciiTheme="minorHAnsi" w:hAnsiTheme="minorHAnsi" w:cstheme="minorHAnsi"/>
        </w:rPr>
        <w:t>are also an ‘Item 2’ d</w:t>
      </w:r>
      <w:r w:rsidR="00B2213B">
        <w:rPr>
          <w:rFonts w:asciiTheme="minorHAnsi" w:hAnsiTheme="minorHAnsi" w:cstheme="minorHAnsi"/>
        </w:rPr>
        <w:t>eductible gift recipient, cutting</w:t>
      </w:r>
      <w:r w:rsidRPr="00AA420A">
        <w:rPr>
          <w:rFonts w:asciiTheme="minorHAnsi" w:hAnsiTheme="minorHAnsi" w:cstheme="minorHAnsi"/>
        </w:rPr>
        <w:t xml:space="preserve"> them off from a significant source of philanthropic funding.</w:t>
      </w:r>
    </w:p>
    <w:p w14:paraId="316FD48A" w14:textId="15D53B9F" w:rsidR="00AA420A" w:rsidRPr="00AA420A" w:rsidRDefault="00AA420A" w:rsidP="00AA420A">
      <w:pPr>
        <w:pStyle w:val="ListParagraph"/>
        <w:numPr>
          <w:ilvl w:val="0"/>
          <w:numId w:val="8"/>
        </w:numPr>
        <w:autoSpaceDE w:val="0"/>
        <w:autoSpaceDN w:val="0"/>
        <w:adjustRightInd w:val="0"/>
        <w:spacing w:after="120"/>
        <w:rPr>
          <w:rFonts w:asciiTheme="minorHAnsi" w:hAnsiTheme="minorHAnsi" w:cstheme="minorHAnsi"/>
        </w:rPr>
      </w:pPr>
      <w:r w:rsidRPr="00AA420A">
        <w:rPr>
          <w:rFonts w:asciiTheme="minorHAnsi" w:hAnsiTheme="minorHAnsi" w:cstheme="minorHAnsi"/>
        </w:rPr>
        <w:t xml:space="preserve">They can only make grants to ‘Item 1’ DGRs, however in regional and rural areas there </w:t>
      </w:r>
      <w:r w:rsidR="00B2213B">
        <w:rPr>
          <w:rFonts w:asciiTheme="minorHAnsi" w:hAnsiTheme="minorHAnsi" w:cstheme="minorHAnsi"/>
        </w:rPr>
        <w:t>fewer</w:t>
      </w:r>
      <w:r w:rsidRPr="00AA420A">
        <w:rPr>
          <w:rFonts w:asciiTheme="minorHAnsi" w:hAnsiTheme="minorHAnsi" w:cstheme="minorHAnsi"/>
        </w:rPr>
        <w:t xml:space="preserve"> ‘Item 1’ DGRs to grant to, making it difficult for community foundations to fulfil their mission and make a difference.</w:t>
      </w:r>
    </w:p>
    <w:p w14:paraId="2A396EE7" w14:textId="77777777" w:rsidR="00CF1372" w:rsidRPr="005D4ED4" w:rsidRDefault="00CF1372" w:rsidP="00842B9E">
      <w:pPr>
        <w:spacing w:after="120"/>
        <w:rPr>
          <w:rFonts w:asciiTheme="minorHAnsi" w:hAnsiTheme="minorHAnsi" w:cstheme="minorHAnsi"/>
          <w:bCs/>
          <w:iCs/>
          <w:color w:val="000000"/>
        </w:rPr>
      </w:pPr>
      <w:r w:rsidRPr="00842B9E">
        <w:rPr>
          <w:rFonts w:asciiTheme="minorHAnsi" w:hAnsiTheme="minorHAnsi" w:cs="Arial"/>
          <w:bCs/>
          <w:iCs/>
          <w:color w:val="000000"/>
        </w:rPr>
        <w:t xml:space="preserve">The </w:t>
      </w:r>
      <w:r w:rsidR="00C22341">
        <w:rPr>
          <w:rFonts w:asciiTheme="minorHAnsi" w:hAnsiTheme="minorHAnsi" w:cs="Arial"/>
          <w:bCs/>
          <w:iCs/>
          <w:color w:val="000000"/>
        </w:rPr>
        <w:t xml:space="preserve">Partnership advocates for a </w:t>
      </w:r>
      <w:r w:rsidRPr="00842B9E">
        <w:rPr>
          <w:rFonts w:asciiTheme="minorHAnsi" w:hAnsiTheme="minorHAnsi" w:cs="Arial"/>
          <w:bCs/>
          <w:iCs/>
          <w:color w:val="000000"/>
        </w:rPr>
        <w:t xml:space="preserve">solution </w:t>
      </w:r>
      <w:r w:rsidR="00C22341">
        <w:rPr>
          <w:rFonts w:asciiTheme="minorHAnsi" w:hAnsiTheme="minorHAnsi" w:cs="Arial"/>
          <w:bCs/>
          <w:iCs/>
          <w:color w:val="000000"/>
        </w:rPr>
        <w:t>for</w:t>
      </w:r>
      <w:r w:rsidRPr="00842B9E">
        <w:rPr>
          <w:rFonts w:asciiTheme="minorHAnsi" w:hAnsiTheme="minorHAnsi" w:cs="Arial"/>
          <w:bCs/>
          <w:iCs/>
          <w:color w:val="000000"/>
        </w:rPr>
        <w:t xml:space="preserve"> Community Foundation</w:t>
      </w:r>
      <w:r w:rsidR="00C22341">
        <w:rPr>
          <w:rFonts w:asciiTheme="minorHAnsi" w:hAnsiTheme="minorHAnsi" w:cs="Arial"/>
          <w:bCs/>
          <w:iCs/>
          <w:color w:val="000000"/>
        </w:rPr>
        <w:t>s, which is to simplify the</w:t>
      </w:r>
      <w:r w:rsidRPr="00842B9E">
        <w:rPr>
          <w:rFonts w:asciiTheme="minorHAnsi" w:hAnsiTheme="minorHAnsi" w:cs="Arial"/>
          <w:bCs/>
          <w:iCs/>
          <w:color w:val="000000"/>
        </w:rPr>
        <w:t xml:space="preserve"> structure to a single entity that is a deductible gift recipient (DGR) under item 1 in </w:t>
      </w:r>
      <w:r w:rsidRPr="005D4ED4">
        <w:rPr>
          <w:rFonts w:asciiTheme="minorHAnsi" w:hAnsiTheme="minorHAnsi" w:cstheme="minorHAnsi"/>
          <w:bCs/>
          <w:iCs/>
          <w:color w:val="000000"/>
        </w:rPr>
        <w:t xml:space="preserve">section 30-15 of the ITAA 97 (an item 1 DGR). </w:t>
      </w:r>
    </w:p>
    <w:p w14:paraId="7860534E" w14:textId="77777777" w:rsidR="007C4461" w:rsidRPr="00320206" w:rsidRDefault="005D4ED4" w:rsidP="00842B9E">
      <w:pPr>
        <w:spacing w:after="120"/>
        <w:rPr>
          <w:rFonts w:asciiTheme="minorHAnsi" w:hAnsiTheme="minorHAnsi" w:cstheme="minorHAnsi"/>
          <w:b/>
        </w:rPr>
      </w:pPr>
      <w:r w:rsidRPr="00320206">
        <w:rPr>
          <w:rFonts w:asciiTheme="minorHAnsi" w:hAnsiTheme="minorHAnsi" w:cstheme="minorHAnsi"/>
          <w:b/>
          <w:i/>
        </w:rPr>
        <w:t xml:space="preserve">Section 50-50 of the </w:t>
      </w:r>
      <w:r w:rsidRPr="00320206">
        <w:rPr>
          <w:rFonts w:asciiTheme="minorHAnsi" w:hAnsiTheme="minorHAnsi" w:cstheme="minorHAnsi"/>
          <w:b/>
          <w:i/>
          <w:iCs/>
        </w:rPr>
        <w:t>Income Tax Assessment Act 1997</w:t>
      </w:r>
    </w:p>
    <w:p w14:paraId="2268CACD" w14:textId="305D03BA" w:rsidR="00AA420A" w:rsidRPr="005D4ED4" w:rsidRDefault="007C4461" w:rsidP="007336D0">
      <w:pPr>
        <w:spacing w:after="240"/>
        <w:rPr>
          <w:rFonts w:asciiTheme="minorHAnsi" w:hAnsiTheme="minorHAnsi" w:cstheme="minorHAnsi"/>
        </w:rPr>
      </w:pPr>
      <w:r>
        <w:rPr>
          <w:rFonts w:asciiTheme="minorHAnsi" w:hAnsiTheme="minorHAnsi" w:cstheme="minorHAnsi"/>
        </w:rPr>
        <w:t xml:space="preserve">The </w:t>
      </w:r>
      <w:r w:rsidR="00320206">
        <w:rPr>
          <w:rFonts w:asciiTheme="minorHAnsi" w:hAnsiTheme="minorHAnsi" w:cstheme="minorHAnsi"/>
        </w:rPr>
        <w:t xml:space="preserve">discussion paper is </w:t>
      </w:r>
      <w:r>
        <w:rPr>
          <w:rFonts w:asciiTheme="minorHAnsi" w:hAnsiTheme="minorHAnsi" w:cstheme="minorHAnsi"/>
        </w:rPr>
        <w:t>silent on propo</w:t>
      </w:r>
      <w:r w:rsidR="00320206">
        <w:rPr>
          <w:rFonts w:asciiTheme="minorHAnsi" w:hAnsiTheme="minorHAnsi" w:cstheme="minorHAnsi"/>
        </w:rPr>
        <w:t>sals for Section 50-50 Reforms.</w:t>
      </w:r>
      <w:r>
        <w:rPr>
          <w:rFonts w:asciiTheme="minorHAnsi" w:hAnsiTheme="minorHAnsi" w:cstheme="minorHAnsi"/>
        </w:rPr>
        <w:t xml:space="preserve"> These are widely believed to </w:t>
      </w:r>
      <w:r w:rsidR="005D4ED4" w:rsidRPr="005D4ED4">
        <w:rPr>
          <w:rFonts w:asciiTheme="minorHAnsi" w:hAnsiTheme="minorHAnsi" w:cstheme="minorHAnsi"/>
        </w:rPr>
        <w:t>place unnecessary compliance risk on charities</w:t>
      </w:r>
      <w:r w:rsidR="005D4ED4">
        <w:rPr>
          <w:rFonts w:asciiTheme="minorHAnsi" w:hAnsiTheme="minorHAnsi" w:cstheme="minorHAnsi"/>
        </w:rPr>
        <w:t>.</w:t>
      </w:r>
      <w:r>
        <w:rPr>
          <w:rFonts w:asciiTheme="minorHAnsi" w:hAnsiTheme="minorHAnsi" w:cstheme="minorHAnsi"/>
        </w:rPr>
        <w:t xml:space="preserve"> A more comprehensive approach to</w:t>
      </w:r>
      <w:r w:rsidR="00320206">
        <w:rPr>
          <w:rFonts w:asciiTheme="minorHAnsi" w:hAnsiTheme="minorHAnsi" w:cstheme="minorHAnsi"/>
        </w:rPr>
        <w:t xml:space="preserve"> DGR</w:t>
      </w:r>
      <w:r>
        <w:rPr>
          <w:rFonts w:asciiTheme="minorHAnsi" w:hAnsiTheme="minorHAnsi" w:cstheme="minorHAnsi"/>
        </w:rPr>
        <w:t xml:space="preserve"> reform needs to include this issue.</w:t>
      </w:r>
      <w:r w:rsidR="002A1A00">
        <w:rPr>
          <w:rFonts w:asciiTheme="minorHAnsi" w:hAnsiTheme="minorHAnsi" w:cstheme="minorHAnsi"/>
        </w:rPr>
        <w:t xml:space="preserve">  </w:t>
      </w:r>
      <w:r w:rsidR="007336D0">
        <w:rPr>
          <w:rFonts w:asciiTheme="minorHAnsi" w:hAnsiTheme="minorHAnsi" w:cstheme="minorHAnsi"/>
        </w:rPr>
        <w:t>The S</w:t>
      </w:r>
      <w:r w:rsidR="00320206">
        <w:rPr>
          <w:rFonts w:asciiTheme="minorHAnsi" w:hAnsiTheme="minorHAnsi" w:cstheme="minorHAnsi"/>
        </w:rPr>
        <w:t>ection covers both not-for-profits</w:t>
      </w:r>
      <w:r w:rsidR="00B91E83">
        <w:rPr>
          <w:rFonts w:asciiTheme="minorHAnsi" w:hAnsiTheme="minorHAnsi" w:cstheme="minorHAnsi"/>
        </w:rPr>
        <w:t xml:space="preserve"> </w:t>
      </w:r>
      <w:r w:rsidR="007336D0">
        <w:rPr>
          <w:rFonts w:asciiTheme="minorHAnsi" w:hAnsiTheme="minorHAnsi" w:cstheme="minorHAnsi"/>
        </w:rPr>
        <w:t>and</w:t>
      </w:r>
      <w:r w:rsidR="00B91E83">
        <w:rPr>
          <w:rFonts w:asciiTheme="minorHAnsi" w:hAnsiTheme="minorHAnsi" w:cstheme="minorHAnsi"/>
        </w:rPr>
        <w:t xml:space="preserve"> charities and covers quite a broad range of legal structures, e.g. associations (under state law or corporations law) which often have standard rules which they adopt which may not specifically comply with the requir</w:t>
      </w:r>
      <w:r w:rsidR="00320206">
        <w:rPr>
          <w:rFonts w:asciiTheme="minorHAnsi" w:hAnsiTheme="minorHAnsi" w:cstheme="minorHAnsi"/>
        </w:rPr>
        <w:t>ements in Section 50-50.  S</w:t>
      </w:r>
      <w:r w:rsidR="00B91E83">
        <w:rPr>
          <w:rFonts w:asciiTheme="minorHAnsi" w:hAnsiTheme="minorHAnsi" w:cstheme="minorHAnsi"/>
        </w:rPr>
        <w:t xml:space="preserve">ection </w:t>
      </w:r>
      <w:r w:rsidR="00320206">
        <w:rPr>
          <w:rFonts w:asciiTheme="minorHAnsi" w:hAnsiTheme="minorHAnsi" w:cstheme="minorHAnsi"/>
        </w:rPr>
        <w:t xml:space="preserve">50:50 should </w:t>
      </w:r>
      <w:r w:rsidR="008A11EB">
        <w:rPr>
          <w:rFonts w:asciiTheme="minorHAnsi" w:hAnsiTheme="minorHAnsi" w:cstheme="minorHAnsi"/>
        </w:rPr>
        <w:t xml:space="preserve">be considered as part of any DGR Reform </w:t>
      </w:r>
      <w:r w:rsidR="00B91E83">
        <w:rPr>
          <w:rFonts w:asciiTheme="minorHAnsi" w:hAnsiTheme="minorHAnsi" w:cstheme="minorHAnsi"/>
        </w:rPr>
        <w:t xml:space="preserve">to </w:t>
      </w:r>
      <w:r w:rsidR="008A11EB">
        <w:rPr>
          <w:rFonts w:asciiTheme="minorHAnsi" w:hAnsiTheme="minorHAnsi" w:cstheme="minorHAnsi"/>
        </w:rPr>
        <w:t>ensure</w:t>
      </w:r>
      <w:r w:rsidR="00B91E83">
        <w:rPr>
          <w:rFonts w:asciiTheme="minorHAnsi" w:hAnsiTheme="minorHAnsi" w:cstheme="minorHAnsi"/>
        </w:rPr>
        <w:t xml:space="preserve"> it is practically effective in all situations.</w:t>
      </w:r>
    </w:p>
    <w:p w14:paraId="2938F0DE" w14:textId="77777777" w:rsidR="00320206" w:rsidRPr="007336D0" w:rsidRDefault="007336D0" w:rsidP="007336D0">
      <w:pPr>
        <w:spacing w:after="120"/>
        <w:rPr>
          <w:rFonts w:asciiTheme="minorHAnsi" w:hAnsiTheme="minorHAnsi" w:cstheme="minorHAnsi"/>
          <w:b/>
        </w:rPr>
      </w:pPr>
      <w:r>
        <w:rPr>
          <w:rFonts w:asciiTheme="minorHAnsi" w:hAnsiTheme="minorHAnsi" w:cstheme="minorHAnsi"/>
          <w:b/>
        </w:rPr>
        <w:t>Conclusion</w:t>
      </w:r>
    </w:p>
    <w:p w14:paraId="087D38B0" w14:textId="77777777" w:rsidR="008A11EB" w:rsidRDefault="008A11EB" w:rsidP="008A11EB">
      <w:pPr>
        <w:spacing w:after="120"/>
        <w:rPr>
          <w:rFonts w:asciiTheme="minorHAnsi" w:hAnsiTheme="minorHAnsi"/>
        </w:rPr>
      </w:pPr>
      <w:r>
        <w:rPr>
          <w:rFonts w:asciiTheme="minorHAnsi" w:hAnsiTheme="minorHAnsi"/>
        </w:rPr>
        <w:t>Charities and not-for-profit organisations undertake substantial work in Australia for the benefit of our civil society. Investing in the modernisation and greater effectiveness of the enabling regulation and frameworks is necessary to ensure we maximise utilisation of limited resources. The Partnership congratulates you on taking steps to invest for better outcomes, and supports a number of the proposed actions outlined in the discussion paper.</w:t>
      </w:r>
    </w:p>
    <w:p w14:paraId="46F468B7" w14:textId="77777777" w:rsidR="008A11EB" w:rsidRDefault="008A11EB" w:rsidP="008A11EB">
      <w:pPr>
        <w:spacing w:after="120"/>
        <w:rPr>
          <w:rFonts w:asciiTheme="minorHAnsi" w:hAnsiTheme="minorHAnsi"/>
        </w:rPr>
      </w:pPr>
      <w:r>
        <w:rPr>
          <w:rFonts w:asciiTheme="minorHAnsi" w:hAnsiTheme="minorHAnsi"/>
        </w:rPr>
        <w:t xml:space="preserve">The Partnership advocates for a greater overhaul of the DGR legislation to </w:t>
      </w:r>
      <w:r w:rsidRPr="00224E08">
        <w:rPr>
          <w:rFonts w:asciiTheme="minorHAnsi" w:hAnsiTheme="minorHAnsi"/>
        </w:rPr>
        <w:t>amend tax laws to remove all DGR categories and replace with fewer, but broader, categories</w:t>
      </w:r>
      <w:r>
        <w:rPr>
          <w:rFonts w:asciiTheme="minorHAnsi" w:hAnsiTheme="minorHAnsi"/>
        </w:rPr>
        <w:t xml:space="preserve"> that fit with a multiple purpose framework and also reduce complexity which is one of the key issues with the current DGR legislation</w:t>
      </w:r>
      <w:r w:rsidRPr="00224E08">
        <w:rPr>
          <w:rFonts w:asciiTheme="minorHAnsi" w:hAnsiTheme="minorHAnsi"/>
        </w:rPr>
        <w:t>.</w:t>
      </w:r>
      <w:r>
        <w:rPr>
          <w:rFonts w:asciiTheme="minorHAnsi" w:hAnsiTheme="minorHAnsi"/>
        </w:rPr>
        <w:t xml:space="preserve"> As stated earlier, we would go further and support the creation of one general DGR category. </w:t>
      </w:r>
    </w:p>
    <w:p w14:paraId="296217D6" w14:textId="77777777" w:rsidR="00A32755" w:rsidRPr="009C72DA" w:rsidRDefault="00A32755" w:rsidP="00842B9E">
      <w:pPr>
        <w:spacing w:after="120"/>
        <w:rPr>
          <w:rFonts w:asciiTheme="minorHAnsi" w:hAnsiTheme="minorHAnsi"/>
        </w:rPr>
      </w:pPr>
      <w:r w:rsidRPr="005D4ED4">
        <w:rPr>
          <w:rFonts w:asciiTheme="minorHAnsi" w:hAnsiTheme="minorHAnsi" w:cstheme="minorHAnsi"/>
        </w:rPr>
        <w:lastRenderedPageBreak/>
        <w:t>I have copied the Prime Minister and the Minister for Social Services in to this response.</w:t>
      </w:r>
      <w:r w:rsidRPr="009C72DA">
        <w:rPr>
          <w:rFonts w:asciiTheme="minorHAnsi" w:hAnsiTheme="minorHAnsi"/>
        </w:rPr>
        <w:t xml:space="preserve">  I am happy to expand on this response and discuss with you or </w:t>
      </w:r>
      <w:r w:rsidR="003C68B8">
        <w:rPr>
          <w:rFonts w:asciiTheme="minorHAnsi" w:hAnsiTheme="minorHAnsi"/>
        </w:rPr>
        <w:t>your team.</w:t>
      </w:r>
    </w:p>
    <w:p w14:paraId="3339410A" w14:textId="77777777" w:rsidR="00A32755" w:rsidRDefault="00A32755" w:rsidP="00842B9E">
      <w:pPr>
        <w:spacing w:after="120"/>
        <w:rPr>
          <w:rFonts w:asciiTheme="minorHAnsi" w:hAnsiTheme="minorHAnsi"/>
        </w:rPr>
      </w:pPr>
      <w:r w:rsidRPr="009C72DA">
        <w:rPr>
          <w:rFonts w:asciiTheme="minorHAnsi" w:hAnsiTheme="minorHAnsi"/>
        </w:rPr>
        <w:t>Your</w:t>
      </w:r>
      <w:r w:rsidR="003C68B8">
        <w:rPr>
          <w:rFonts w:asciiTheme="minorHAnsi" w:hAnsiTheme="minorHAnsi"/>
        </w:rPr>
        <w:t>s</w:t>
      </w:r>
      <w:r w:rsidRPr="009C72DA">
        <w:rPr>
          <w:rFonts w:asciiTheme="minorHAnsi" w:hAnsiTheme="minorHAnsi"/>
        </w:rPr>
        <w:t xml:space="preserve"> sincerely</w:t>
      </w:r>
    </w:p>
    <w:p w14:paraId="3680DD5F" w14:textId="50F430CD" w:rsidR="00320206" w:rsidRDefault="00D52616" w:rsidP="00842B9E">
      <w:pPr>
        <w:spacing w:after="120"/>
        <w:rPr>
          <w:rFonts w:asciiTheme="minorHAnsi" w:hAnsiTheme="minorHAnsi"/>
        </w:rPr>
      </w:pPr>
      <w:r>
        <w:rPr>
          <w:rFonts w:asciiTheme="minorHAnsi" w:hAnsiTheme="minorHAnsi"/>
          <w:noProof/>
          <w:lang w:eastAsia="en-AU"/>
        </w:rPr>
        <w:drawing>
          <wp:inline distT="0" distB="0" distL="0" distR="0" wp14:anchorId="4300F9C5" wp14:editId="03979748">
            <wp:extent cx="990600" cy="417817"/>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G Signature.jpg"/>
                    <pic:cNvPicPr/>
                  </pic:nvPicPr>
                  <pic:blipFill>
                    <a:blip r:embed="rId9">
                      <a:extLst>
                        <a:ext uri="{28A0092B-C50C-407E-A947-70E740481C1C}">
                          <a14:useLocalDpi xmlns:a14="http://schemas.microsoft.com/office/drawing/2010/main" val="0"/>
                        </a:ext>
                      </a:extLst>
                    </a:blip>
                    <a:stretch>
                      <a:fillRect/>
                    </a:stretch>
                  </pic:blipFill>
                  <pic:spPr>
                    <a:xfrm>
                      <a:off x="0" y="0"/>
                      <a:ext cx="1016249" cy="428635"/>
                    </a:xfrm>
                    <a:prstGeom prst="rect">
                      <a:avLst/>
                    </a:prstGeom>
                  </pic:spPr>
                </pic:pic>
              </a:graphicData>
            </a:graphic>
          </wp:inline>
        </w:drawing>
      </w:r>
    </w:p>
    <w:p w14:paraId="4A2FD581" w14:textId="77777777" w:rsidR="00320206" w:rsidRDefault="00320206" w:rsidP="00320206">
      <w:pPr>
        <w:spacing w:after="0"/>
        <w:rPr>
          <w:rFonts w:asciiTheme="minorHAnsi" w:hAnsiTheme="minorHAnsi"/>
        </w:rPr>
      </w:pPr>
      <w:r>
        <w:rPr>
          <w:rFonts w:asciiTheme="minorHAnsi" w:hAnsiTheme="minorHAnsi"/>
        </w:rPr>
        <w:t>Alexandra Gartmann</w:t>
      </w:r>
    </w:p>
    <w:p w14:paraId="281EA00A" w14:textId="77777777" w:rsidR="00320206" w:rsidRDefault="00320206" w:rsidP="00320206">
      <w:pPr>
        <w:spacing w:after="0"/>
        <w:rPr>
          <w:rFonts w:asciiTheme="minorHAnsi" w:hAnsiTheme="minorHAnsi"/>
        </w:rPr>
      </w:pPr>
      <w:r>
        <w:rPr>
          <w:rFonts w:asciiTheme="minorHAnsi" w:hAnsiTheme="minorHAnsi"/>
        </w:rPr>
        <w:t xml:space="preserve">Member </w:t>
      </w:r>
    </w:p>
    <w:p w14:paraId="39EE61DF" w14:textId="77777777" w:rsidR="00320206" w:rsidRPr="009C72DA" w:rsidRDefault="00320206" w:rsidP="00320206">
      <w:pPr>
        <w:spacing w:after="0"/>
        <w:rPr>
          <w:rFonts w:asciiTheme="minorHAnsi" w:hAnsiTheme="minorHAnsi"/>
        </w:rPr>
      </w:pPr>
      <w:r>
        <w:rPr>
          <w:rStyle w:val="BookTitle"/>
          <w:rFonts w:asciiTheme="minorHAnsi" w:hAnsiTheme="minorHAnsi" w:cstheme="minorHAnsi"/>
          <w:i w:val="0"/>
          <w:iCs w:val="0"/>
          <w:smallCaps w:val="0"/>
          <w:spacing w:val="0"/>
        </w:rPr>
        <w:t xml:space="preserve">Prime Minister’s Community </w:t>
      </w:r>
      <w:bookmarkStart w:id="0" w:name="_GoBack"/>
      <w:bookmarkEnd w:id="0"/>
      <w:r>
        <w:rPr>
          <w:rStyle w:val="BookTitle"/>
          <w:rFonts w:asciiTheme="minorHAnsi" w:hAnsiTheme="minorHAnsi" w:cstheme="minorHAnsi"/>
          <w:i w:val="0"/>
          <w:iCs w:val="0"/>
          <w:smallCaps w:val="0"/>
          <w:spacing w:val="0"/>
        </w:rPr>
        <w:t>Business Partnership</w:t>
      </w:r>
    </w:p>
    <w:sectPr w:rsidR="00320206" w:rsidRPr="009C72DA">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140C34" w14:textId="77777777" w:rsidR="001957F4" w:rsidRDefault="001957F4" w:rsidP="003805FE">
      <w:pPr>
        <w:spacing w:after="0" w:line="240" w:lineRule="auto"/>
      </w:pPr>
      <w:r>
        <w:separator/>
      </w:r>
    </w:p>
  </w:endnote>
  <w:endnote w:type="continuationSeparator" w:id="0">
    <w:p w14:paraId="6C9D0E7E" w14:textId="77777777" w:rsidR="001957F4" w:rsidRDefault="001957F4" w:rsidP="003805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6869452"/>
      <w:docPartObj>
        <w:docPartGallery w:val="Page Numbers (Bottom of Page)"/>
        <w:docPartUnique/>
      </w:docPartObj>
    </w:sdtPr>
    <w:sdtEndPr>
      <w:rPr>
        <w:noProof/>
      </w:rPr>
    </w:sdtEndPr>
    <w:sdtContent>
      <w:p w14:paraId="639B90DB" w14:textId="77777777" w:rsidR="006618FB" w:rsidRDefault="006618FB">
        <w:pPr>
          <w:pStyle w:val="Footer"/>
        </w:pPr>
        <w:r>
          <w:fldChar w:fldCharType="begin"/>
        </w:r>
        <w:r>
          <w:instrText xml:space="preserve"> PAGE   \* MERGEFORMAT </w:instrText>
        </w:r>
        <w:r>
          <w:fldChar w:fldCharType="separate"/>
        </w:r>
        <w:r w:rsidR="009A78B5">
          <w:rPr>
            <w:noProof/>
          </w:rPr>
          <w:t>6</w:t>
        </w:r>
        <w:r>
          <w:rPr>
            <w:noProof/>
          </w:rPr>
          <w:fldChar w:fldCharType="end"/>
        </w:r>
      </w:p>
    </w:sdtContent>
  </w:sdt>
  <w:p w14:paraId="62110DD4" w14:textId="77777777" w:rsidR="002A1A00" w:rsidRDefault="002A1A00" w:rsidP="003805FE">
    <w:pPr>
      <w:pStyle w:val="Footer"/>
      <w:tabs>
        <w:tab w:val="clear" w:pos="4513"/>
        <w:tab w:val="clear" w:pos="9026"/>
        <w:tab w:val="left" w:pos="3840"/>
      </w:tabs>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063306" w14:textId="77777777" w:rsidR="001957F4" w:rsidRDefault="001957F4" w:rsidP="003805FE">
      <w:pPr>
        <w:spacing w:after="0" w:line="240" w:lineRule="auto"/>
      </w:pPr>
      <w:r>
        <w:separator/>
      </w:r>
    </w:p>
  </w:footnote>
  <w:footnote w:type="continuationSeparator" w:id="0">
    <w:p w14:paraId="7F5E768A" w14:textId="77777777" w:rsidR="001957F4" w:rsidRDefault="001957F4" w:rsidP="003805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C74E62" w14:textId="77777777" w:rsidR="002A1A00" w:rsidRDefault="002A1A00" w:rsidP="003805FE">
    <w:pPr>
      <w:pStyle w:val="Header"/>
      <w:jc w:val="center"/>
    </w:pPr>
    <w:r>
      <w:rPr>
        <w:noProof/>
        <w:lang w:eastAsia="en-AU"/>
      </w:rPr>
      <w:drawing>
        <wp:inline distT="0" distB="0" distL="0" distR="0" wp14:anchorId="2D50E679" wp14:editId="13A68BBF">
          <wp:extent cx="3264408" cy="1289304"/>
          <wp:effectExtent l="0" t="0" r="0" b="6350"/>
          <wp:docPr id="4" name="Picture 4" descr="Australian Government, Prime Minister's Community Business Partnersh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MCBP Aust Gov Crest stacked 1 line-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64408" cy="12893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A20B7"/>
    <w:multiLevelType w:val="hybridMultilevel"/>
    <w:tmpl w:val="7EB08E50"/>
    <w:lvl w:ilvl="0" w:tplc="0C090001">
      <w:start w:val="1"/>
      <w:numFmt w:val="bullet"/>
      <w:lvlText w:val=""/>
      <w:lvlJc w:val="left"/>
      <w:pPr>
        <w:ind w:left="775" w:hanging="360"/>
      </w:pPr>
      <w:rPr>
        <w:rFonts w:ascii="Symbol" w:hAnsi="Symbol" w:hint="default"/>
      </w:rPr>
    </w:lvl>
    <w:lvl w:ilvl="1" w:tplc="0C090003" w:tentative="1">
      <w:start w:val="1"/>
      <w:numFmt w:val="bullet"/>
      <w:lvlText w:val="o"/>
      <w:lvlJc w:val="left"/>
      <w:pPr>
        <w:ind w:left="1495" w:hanging="360"/>
      </w:pPr>
      <w:rPr>
        <w:rFonts w:ascii="Courier New" w:hAnsi="Courier New" w:cs="Courier New" w:hint="default"/>
      </w:rPr>
    </w:lvl>
    <w:lvl w:ilvl="2" w:tplc="0C090005" w:tentative="1">
      <w:start w:val="1"/>
      <w:numFmt w:val="bullet"/>
      <w:lvlText w:val=""/>
      <w:lvlJc w:val="left"/>
      <w:pPr>
        <w:ind w:left="2215" w:hanging="360"/>
      </w:pPr>
      <w:rPr>
        <w:rFonts w:ascii="Wingdings" w:hAnsi="Wingdings" w:hint="default"/>
      </w:rPr>
    </w:lvl>
    <w:lvl w:ilvl="3" w:tplc="0C090001" w:tentative="1">
      <w:start w:val="1"/>
      <w:numFmt w:val="bullet"/>
      <w:lvlText w:val=""/>
      <w:lvlJc w:val="left"/>
      <w:pPr>
        <w:ind w:left="2935" w:hanging="360"/>
      </w:pPr>
      <w:rPr>
        <w:rFonts w:ascii="Symbol" w:hAnsi="Symbol" w:hint="default"/>
      </w:rPr>
    </w:lvl>
    <w:lvl w:ilvl="4" w:tplc="0C090003" w:tentative="1">
      <w:start w:val="1"/>
      <w:numFmt w:val="bullet"/>
      <w:lvlText w:val="o"/>
      <w:lvlJc w:val="left"/>
      <w:pPr>
        <w:ind w:left="3655" w:hanging="360"/>
      </w:pPr>
      <w:rPr>
        <w:rFonts w:ascii="Courier New" w:hAnsi="Courier New" w:cs="Courier New" w:hint="default"/>
      </w:rPr>
    </w:lvl>
    <w:lvl w:ilvl="5" w:tplc="0C090005" w:tentative="1">
      <w:start w:val="1"/>
      <w:numFmt w:val="bullet"/>
      <w:lvlText w:val=""/>
      <w:lvlJc w:val="left"/>
      <w:pPr>
        <w:ind w:left="4375" w:hanging="360"/>
      </w:pPr>
      <w:rPr>
        <w:rFonts w:ascii="Wingdings" w:hAnsi="Wingdings" w:hint="default"/>
      </w:rPr>
    </w:lvl>
    <w:lvl w:ilvl="6" w:tplc="0C090001" w:tentative="1">
      <w:start w:val="1"/>
      <w:numFmt w:val="bullet"/>
      <w:lvlText w:val=""/>
      <w:lvlJc w:val="left"/>
      <w:pPr>
        <w:ind w:left="5095" w:hanging="360"/>
      </w:pPr>
      <w:rPr>
        <w:rFonts w:ascii="Symbol" w:hAnsi="Symbol" w:hint="default"/>
      </w:rPr>
    </w:lvl>
    <w:lvl w:ilvl="7" w:tplc="0C090003" w:tentative="1">
      <w:start w:val="1"/>
      <w:numFmt w:val="bullet"/>
      <w:lvlText w:val="o"/>
      <w:lvlJc w:val="left"/>
      <w:pPr>
        <w:ind w:left="5815" w:hanging="360"/>
      </w:pPr>
      <w:rPr>
        <w:rFonts w:ascii="Courier New" w:hAnsi="Courier New" w:cs="Courier New" w:hint="default"/>
      </w:rPr>
    </w:lvl>
    <w:lvl w:ilvl="8" w:tplc="0C090005" w:tentative="1">
      <w:start w:val="1"/>
      <w:numFmt w:val="bullet"/>
      <w:lvlText w:val=""/>
      <w:lvlJc w:val="left"/>
      <w:pPr>
        <w:ind w:left="6535" w:hanging="360"/>
      </w:pPr>
      <w:rPr>
        <w:rFonts w:ascii="Wingdings" w:hAnsi="Wingdings" w:hint="default"/>
      </w:rPr>
    </w:lvl>
  </w:abstractNum>
  <w:abstractNum w:abstractNumId="1">
    <w:nsid w:val="29D34A93"/>
    <w:multiLevelType w:val="hybridMultilevel"/>
    <w:tmpl w:val="B54CB8E0"/>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2">
    <w:nsid w:val="2AAC52C0"/>
    <w:multiLevelType w:val="hybridMultilevel"/>
    <w:tmpl w:val="9DA429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2D9A1941"/>
    <w:multiLevelType w:val="hybridMultilevel"/>
    <w:tmpl w:val="890879A4"/>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start w:val="1"/>
      <w:numFmt w:val="bullet"/>
      <w:lvlText w:val=""/>
      <w:lvlJc w:val="left"/>
      <w:pPr>
        <w:ind w:left="2520" w:hanging="360"/>
      </w:pPr>
      <w:rPr>
        <w:rFonts w:ascii="Wingdings" w:hAnsi="Wingdings" w:hint="default"/>
      </w:rPr>
    </w:lvl>
    <w:lvl w:ilvl="3" w:tplc="0C090001">
      <w:start w:val="1"/>
      <w:numFmt w:val="bullet"/>
      <w:lvlText w:val=""/>
      <w:lvlJc w:val="left"/>
      <w:pPr>
        <w:ind w:left="3240" w:hanging="360"/>
      </w:pPr>
      <w:rPr>
        <w:rFonts w:ascii="Symbol" w:hAnsi="Symbol" w:hint="default"/>
      </w:rPr>
    </w:lvl>
    <w:lvl w:ilvl="4" w:tplc="0C090003">
      <w:start w:val="1"/>
      <w:numFmt w:val="bullet"/>
      <w:lvlText w:val="o"/>
      <w:lvlJc w:val="left"/>
      <w:pPr>
        <w:ind w:left="3960" w:hanging="360"/>
      </w:pPr>
      <w:rPr>
        <w:rFonts w:ascii="Courier New" w:hAnsi="Courier New" w:cs="Courier New" w:hint="default"/>
      </w:rPr>
    </w:lvl>
    <w:lvl w:ilvl="5" w:tplc="0C090005">
      <w:start w:val="1"/>
      <w:numFmt w:val="bullet"/>
      <w:lvlText w:val=""/>
      <w:lvlJc w:val="left"/>
      <w:pPr>
        <w:ind w:left="4680" w:hanging="360"/>
      </w:pPr>
      <w:rPr>
        <w:rFonts w:ascii="Wingdings" w:hAnsi="Wingdings" w:hint="default"/>
      </w:rPr>
    </w:lvl>
    <w:lvl w:ilvl="6" w:tplc="0C090001">
      <w:start w:val="1"/>
      <w:numFmt w:val="bullet"/>
      <w:lvlText w:val=""/>
      <w:lvlJc w:val="left"/>
      <w:pPr>
        <w:ind w:left="5400" w:hanging="360"/>
      </w:pPr>
      <w:rPr>
        <w:rFonts w:ascii="Symbol" w:hAnsi="Symbol" w:hint="default"/>
      </w:rPr>
    </w:lvl>
    <w:lvl w:ilvl="7" w:tplc="0C090003">
      <w:start w:val="1"/>
      <w:numFmt w:val="bullet"/>
      <w:lvlText w:val="o"/>
      <w:lvlJc w:val="left"/>
      <w:pPr>
        <w:ind w:left="6120" w:hanging="360"/>
      </w:pPr>
      <w:rPr>
        <w:rFonts w:ascii="Courier New" w:hAnsi="Courier New" w:cs="Courier New" w:hint="default"/>
      </w:rPr>
    </w:lvl>
    <w:lvl w:ilvl="8" w:tplc="0C090005">
      <w:start w:val="1"/>
      <w:numFmt w:val="bullet"/>
      <w:lvlText w:val=""/>
      <w:lvlJc w:val="left"/>
      <w:pPr>
        <w:ind w:left="6840" w:hanging="360"/>
      </w:pPr>
      <w:rPr>
        <w:rFonts w:ascii="Wingdings" w:hAnsi="Wingdings" w:hint="default"/>
      </w:rPr>
    </w:lvl>
  </w:abstractNum>
  <w:abstractNum w:abstractNumId="4">
    <w:nsid w:val="428123BD"/>
    <w:multiLevelType w:val="hybridMultilevel"/>
    <w:tmpl w:val="0F44F1C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5">
    <w:nsid w:val="44A95BCF"/>
    <w:multiLevelType w:val="hybridMultilevel"/>
    <w:tmpl w:val="9AE006AA"/>
    <w:lvl w:ilvl="0" w:tplc="0C09000F">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
    <w:nsid w:val="5B7B43CE"/>
    <w:multiLevelType w:val="hybridMultilevel"/>
    <w:tmpl w:val="E99C95B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7">
    <w:nsid w:val="7C837388"/>
    <w:multiLevelType w:val="hybridMultilevel"/>
    <w:tmpl w:val="EA28C2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6"/>
  </w:num>
  <w:num w:numId="4">
    <w:abstractNumId w:val="3"/>
  </w:num>
  <w:num w:numId="5">
    <w:abstractNumId w:val="1"/>
  </w:num>
  <w:num w:numId="6">
    <w:abstractNumId w:val="0"/>
  </w:num>
  <w:num w:numId="7">
    <w:abstractNumId w:val="5"/>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05FE"/>
    <w:rsid w:val="0000604D"/>
    <w:rsid w:val="0002574D"/>
    <w:rsid w:val="0003387A"/>
    <w:rsid w:val="000732EC"/>
    <w:rsid w:val="00123AD6"/>
    <w:rsid w:val="001617DC"/>
    <w:rsid w:val="001704B3"/>
    <w:rsid w:val="00182DC6"/>
    <w:rsid w:val="001957F4"/>
    <w:rsid w:val="001D4A0C"/>
    <w:rsid w:val="001D5059"/>
    <w:rsid w:val="001E630D"/>
    <w:rsid w:val="002060D0"/>
    <w:rsid w:val="002A1A00"/>
    <w:rsid w:val="002F4A70"/>
    <w:rsid w:val="0031214B"/>
    <w:rsid w:val="00320206"/>
    <w:rsid w:val="00323861"/>
    <w:rsid w:val="003429C8"/>
    <w:rsid w:val="003805FE"/>
    <w:rsid w:val="003B2BB8"/>
    <w:rsid w:val="003C68B8"/>
    <w:rsid w:val="003D34FF"/>
    <w:rsid w:val="004145DC"/>
    <w:rsid w:val="00456E56"/>
    <w:rsid w:val="004B54CA"/>
    <w:rsid w:val="004D3024"/>
    <w:rsid w:val="004E5CBF"/>
    <w:rsid w:val="00504C3B"/>
    <w:rsid w:val="00562297"/>
    <w:rsid w:val="005A0A59"/>
    <w:rsid w:val="005A1591"/>
    <w:rsid w:val="005C3AA9"/>
    <w:rsid w:val="005D1318"/>
    <w:rsid w:val="005D4ED4"/>
    <w:rsid w:val="005F2C52"/>
    <w:rsid w:val="0061100A"/>
    <w:rsid w:val="006618FB"/>
    <w:rsid w:val="0066528E"/>
    <w:rsid w:val="00680F05"/>
    <w:rsid w:val="006825FD"/>
    <w:rsid w:val="006A4CE7"/>
    <w:rsid w:val="006D3237"/>
    <w:rsid w:val="006E5A29"/>
    <w:rsid w:val="00710CBA"/>
    <w:rsid w:val="00712061"/>
    <w:rsid w:val="007336D0"/>
    <w:rsid w:val="00785261"/>
    <w:rsid w:val="007B0256"/>
    <w:rsid w:val="007B2AA5"/>
    <w:rsid w:val="007C4461"/>
    <w:rsid w:val="007D380A"/>
    <w:rsid w:val="007F790E"/>
    <w:rsid w:val="00842B9E"/>
    <w:rsid w:val="00866B64"/>
    <w:rsid w:val="00874A06"/>
    <w:rsid w:val="008A11EB"/>
    <w:rsid w:val="008A6C73"/>
    <w:rsid w:val="009225F0"/>
    <w:rsid w:val="009230B5"/>
    <w:rsid w:val="009720C9"/>
    <w:rsid w:val="009A78B5"/>
    <w:rsid w:val="009C5049"/>
    <w:rsid w:val="009C72DA"/>
    <w:rsid w:val="009E6731"/>
    <w:rsid w:val="00A32755"/>
    <w:rsid w:val="00A70290"/>
    <w:rsid w:val="00A74A5C"/>
    <w:rsid w:val="00AA420A"/>
    <w:rsid w:val="00AD5490"/>
    <w:rsid w:val="00B2213B"/>
    <w:rsid w:val="00B2561C"/>
    <w:rsid w:val="00B466E9"/>
    <w:rsid w:val="00B87FB7"/>
    <w:rsid w:val="00B91E83"/>
    <w:rsid w:val="00BA2DB9"/>
    <w:rsid w:val="00BB065D"/>
    <w:rsid w:val="00BE7148"/>
    <w:rsid w:val="00C22341"/>
    <w:rsid w:val="00C574B1"/>
    <w:rsid w:val="00C83925"/>
    <w:rsid w:val="00C8685A"/>
    <w:rsid w:val="00CB5EF0"/>
    <w:rsid w:val="00CC786B"/>
    <w:rsid w:val="00CF1372"/>
    <w:rsid w:val="00CF63EE"/>
    <w:rsid w:val="00D52616"/>
    <w:rsid w:val="00E8380E"/>
    <w:rsid w:val="00EA0A07"/>
    <w:rsid w:val="00ED7FAD"/>
    <w:rsid w:val="00F076D9"/>
    <w:rsid w:val="00F54B90"/>
    <w:rsid w:val="00FB473D"/>
    <w:rsid w:val="00FF44C3"/>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5AD1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4CA"/>
    <w:rPr>
      <w:rFonts w:ascii="Arial" w:hAnsi="Arial"/>
    </w:rPr>
  </w:style>
  <w:style w:type="paragraph" w:styleId="Heading1">
    <w:name w:val="heading 1"/>
    <w:basedOn w:val="Normal"/>
    <w:next w:val="Normal"/>
    <w:link w:val="Heading1Char"/>
    <w:uiPriority w:val="9"/>
    <w:qFormat/>
    <w:rsid w:val="004B54CA"/>
    <w:pPr>
      <w:spacing w:before="480" w:after="0"/>
      <w:contextualSpacing/>
      <w:outlineLvl w:val="0"/>
    </w:pPr>
    <w:rPr>
      <w:rFonts w:eastAsiaTheme="majorEastAsia" w:cstheme="majorBidi"/>
      <w:b/>
      <w:bCs/>
      <w:sz w:val="32"/>
      <w:szCs w:val="28"/>
    </w:rPr>
  </w:style>
  <w:style w:type="paragraph" w:styleId="Heading2">
    <w:name w:val="heading 2"/>
    <w:basedOn w:val="Normal"/>
    <w:next w:val="Normal"/>
    <w:link w:val="Heading2Char"/>
    <w:uiPriority w:val="9"/>
    <w:unhideWhenUsed/>
    <w:qFormat/>
    <w:rsid w:val="004B54CA"/>
    <w:pPr>
      <w:spacing w:before="200" w:after="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4B54CA"/>
    <w:pPr>
      <w:spacing w:before="200" w:after="0" w:line="271" w:lineRule="auto"/>
      <w:outlineLvl w:val="2"/>
    </w:pPr>
    <w:rPr>
      <w:rFonts w:eastAsiaTheme="majorEastAsia" w:cstheme="majorBidi"/>
      <w:b/>
      <w:bCs/>
    </w:rPr>
  </w:style>
  <w:style w:type="paragraph" w:styleId="Heading4">
    <w:name w:val="heading 4"/>
    <w:basedOn w:val="Normal"/>
    <w:next w:val="Normal"/>
    <w:link w:val="Heading4Char"/>
    <w:uiPriority w:val="9"/>
    <w:unhideWhenUsed/>
    <w:qFormat/>
    <w:rsid w:val="004B54CA"/>
    <w:pPr>
      <w:spacing w:before="200" w:after="0"/>
      <w:outlineLvl w:val="3"/>
    </w:pPr>
    <w:rPr>
      <w:rFonts w:eastAsiaTheme="majorEastAsia" w:cstheme="majorBidi"/>
      <w:b/>
      <w:bCs/>
      <w:i/>
      <w:iCs/>
    </w:rPr>
  </w:style>
  <w:style w:type="paragraph" w:styleId="Heading5">
    <w:name w:val="heading 5"/>
    <w:basedOn w:val="Normal"/>
    <w:next w:val="Normal"/>
    <w:link w:val="Heading5Char"/>
    <w:uiPriority w:val="9"/>
    <w:unhideWhenUsed/>
    <w:qFormat/>
    <w:rsid w:val="004B54CA"/>
    <w:pPr>
      <w:spacing w:before="200" w:after="0"/>
      <w:outlineLvl w:val="4"/>
    </w:pPr>
    <w:rPr>
      <w:rFonts w:eastAsiaTheme="majorEastAsia" w:cstheme="majorBidi"/>
      <w:b/>
      <w:bCs/>
      <w:color w:val="7F7F7F" w:themeColor="text1" w:themeTint="80"/>
    </w:rPr>
  </w:style>
  <w:style w:type="paragraph" w:styleId="Heading6">
    <w:name w:val="heading 6"/>
    <w:basedOn w:val="Normal"/>
    <w:next w:val="Normal"/>
    <w:link w:val="Heading6Char"/>
    <w:uiPriority w:val="9"/>
    <w:unhideWhenUsed/>
    <w:qFormat/>
    <w:rsid w:val="004B54CA"/>
    <w:pPr>
      <w:spacing w:after="0" w:line="271" w:lineRule="auto"/>
      <w:outlineLvl w:val="5"/>
    </w:pPr>
    <w:rPr>
      <w:rFonts w:eastAsiaTheme="majorEastAsia" w:cstheme="majorBidi"/>
      <w:b/>
      <w:bCs/>
      <w:i/>
      <w:iCs/>
      <w:color w:val="7F7F7F" w:themeColor="text1" w:themeTint="80"/>
    </w:rPr>
  </w:style>
  <w:style w:type="paragraph" w:styleId="Heading7">
    <w:name w:val="heading 7"/>
    <w:basedOn w:val="Normal"/>
    <w:next w:val="Normal"/>
    <w:link w:val="Heading7Char"/>
    <w:uiPriority w:val="9"/>
    <w:unhideWhenUsed/>
    <w:qFormat/>
    <w:rsid w:val="004B54CA"/>
    <w:pPr>
      <w:spacing w:after="0"/>
      <w:outlineLvl w:val="6"/>
    </w:pPr>
    <w:rPr>
      <w:rFonts w:eastAsiaTheme="majorEastAsia" w:cstheme="majorBidi"/>
      <w:i/>
      <w:iCs/>
    </w:rPr>
  </w:style>
  <w:style w:type="paragraph" w:styleId="Heading8">
    <w:name w:val="heading 8"/>
    <w:basedOn w:val="Normal"/>
    <w:next w:val="Normal"/>
    <w:link w:val="Heading8Char"/>
    <w:uiPriority w:val="9"/>
    <w:unhideWhenUsed/>
    <w:qFormat/>
    <w:rsid w:val="004B54CA"/>
    <w:pPr>
      <w:spacing w:after="0"/>
      <w:outlineLvl w:val="7"/>
    </w:pPr>
    <w:rPr>
      <w:rFonts w:eastAsiaTheme="majorEastAsia" w:cstheme="majorBidi"/>
      <w:sz w:val="20"/>
      <w:szCs w:val="20"/>
    </w:rPr>
  </w:style>
  <w:style w:type="paragraph" w:styleId="Heading9">
    <w:name w:val="heading 9"/>
    <w:basedOn w:val="Normal"/>
    <w:next w:val="Normal"/>
    <w:link w:val="Heading9Char"/>
    <w:uiPriority w:val="9"/>
    <w:unhideWhenUsed/>
    <w:qFormat/>
    <w:rsid w:val="004B54CA"/>
    <w:pPr>
      <w:spacing w:after="0"/>
      <w:outlineLvl w:val="8"/>
    </w:pPr>
    <w:rPr>
      <w:rFonts w:eastAsiaTheme="majorEastAsia"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54CA"/>
    <w:rPr>
      <w:rFonts w:ascii="Arial" w:eastAsiaTheme="majorEastAsia" w:hAnsi="Arial" w:cstheme="majorBidi"/>
      <w:b/>
      <w:bCs/>
      <w:sz w:val="32"/>
      <w:szCs w:val="28"/>
    </w:rPr>
  </w:style>
  <w:style w:type="character" w:customStyle="1" w:styleId="Heading2Char">
    <w:name w:val="Heading 2 Char"/>
    <w:basedOn w:val="DefaultParagraphFont"/>
    <w:link w:val="Heading2"/>
    <w:uiPriority w:val="9"/>
    <w:rsid w:val="004B54CA"/>
    <w:rPr>
      <w:rFonts w:ascii="Arial" w:eastAsiaTheme="majorEastAsia" w:hAnsi="Arial" w:cstheme="majorBidi"/>
      <w:b/>
      <w:bCs/>
      <w:sz w:val="26"/>
      <w:szCs w:val="26"/>
    </w:rPr>
  </w:style>
  <w:style w:type="paragraph" w:styleId="NoSpacing">
    <w:name w:val="No Spacing"/>
    <w:basedOn w:val="Normal"/>
    <w:link w:val="NoSpacingChar"/>
    <w:uiPriority w:val="1"/>
    <w:qFormat/>
    <w:rsid w:val="004B54CA"/>
    <w:pPr>
      <w:spacing w:after="0" w:line="240" w:lineRule="auto"/>
    </w:pPr>
  </w:style>
  <w:style w:type="character" w:customStyle="1" w:styleId="Heading3Char">
    <w:name w:val="Heading 3 Char"/>
    <w:basedOn w:val="DefaultParagraphFont"/>
    <w:link w:val="Heading3"/>
    <w:uiPriority w:val="9"/>
    <w:rsid w:val="004B54CA"/>
    <w:rPr>
      <w:rFonts w:ascii="Arial" w:eastAsiaTheme="majorEastAsia" w:hAnsi="Arial" w:cstheme="majorBidi"/>
      <w:b/>
      <w:bCs/>
    </w:rPr>
  </w:style>
  <w:style w:type="character" w:customStyle="1" w:styleId="Heading4Char">
    <w:name w:val="Heading 4 Char"/>
    <w:basedOn w:val="DefaultParagraphFont"/>
    <w:link w:val="Heading4"/>
    <w:uiPriority w:val="9"/>
    <w:rsid w:val="004B54CA"/>
    <w:rPr>
      <w:rFonts w:ascii="Arial" w:eastAsiaTheme="majorEastAsia" w:hAnsi="Arial" w:cstheme="majorBidi"/>
      <w:b/>
      <w:bCs/>
      <w:i/>
      <w:iCs/>
    </w:rPr>
  </w:style>
  <w:style w:type="character" w:customStyle="1" w:styleId="Heading5Char">
    <w:name w:val="Heading 5 Char"/>
    <w:basedOn w:val="DefaultParagraphFont"/>
    <w:link w:val="Heading5"/>
    <w:uiPriority w:val="9"/>
    <w:rsid w:val="004B54CA"/>
    <w:rPr>
      <w:rFonts w:ascii="Arial" w:eastAsiaTheme="majorEastAsia" w:hAnsi="Arial" w:cstheme="majorBidi"/>
      <w:b/>
      <w:bCs/>
      <w:color w:val="7F7F7F" w:themeColor="text1" w:themeTint="80"/>
    </w:rPr>
  </w:style>
  <w:style w:type="character" w:customStyle="1" w:styleId="Heading6Char">
    <w:name w:val="Heading 6 Char"/>
    <w:basedOn w:val="DefaultParagraphFont"/>
    <w:link w:val="Heading6"/>
    <w:uiPriority w:val="9"/>
    <w:rsid w:val="004B54CA"/>
    <w:rPr>
      <w:rFonts w:ascii="Arial" w:eastAsiaTheme="majorEastAsia" w:hAnsi="Arial" w:cstheme="majorBidi"/>
      <w:b/>
      <w:bCs/>
      <w:i/>
      <w:iCs/>
      <w:color w:val="7F7F7F" w:themeColor="text1" w:themeTint="80"/>
    </w:rPr>
  </w:style>
  <w:style w:type="character" w:customStyle="1" w:styleId="Heading7Char">
    <w:name w:val="Heading 7 Char"/>
    <w:basedOn w:val="DefaultParagraphFont"/>
    <w:link w:val="Heading7"/>
    <w:uiPriority w:val="9"/>
    <w:rsid w:val="004B54CA"/>
    <w:rPr>
      <w:rFonts w:ascii="Arial" w:eastAsiaTheme="majorEastAsia" w:hAnsi="Arial" w:cstheme="majorBidi"/>
      <w:i/>
      <w:iCs/>
    </w:rPr>
  </w:style>
  <w:style w:type="character" w:customStyle="1" w:styleId="Heading8Char">
    <w:name w:val="Heading 8 Char"/>
    <w:basedOn w:val="DefaultParagraphFont"/>
    <w:link w:val="Heading8"/>
    <w:uiPriority w:val="9"/>
    <w:rsid w:val="004B54CA"/>
    <w:rPr>
      <w:rFonts w:ascii="Arial" w:eastAsiaTheme="majorEastAsia" w:hAnsi="Arial" w:cstheme="majorBidi"/>
      <w:sz w:val="20"/>
      <w:szCs w:val="20"/>
    </w:rPr>
  </w:style>
  <w:style w:type="character" w:customStyle="1" w:styleId="Heading9Char">
    <w:name w:val="Heading 9 Char"/>
    <w:basedOn w:val="DefaultParagraphFont"/>
    <w:link w:val="Heading9"/>
    <w:uiPriority w:val="9"/>
    <w:rsid w:val="004B54CA"/>
    <w:rPr>
      <w:rFonts w:ascii="Arial" w:eastAsiaTheme="majorEastAsia" w:hAnsi="Arial" w:cstheme="majorBidi"/>
      <w:i/>
      <w:iCs/>
      <w:spacing w:val="5"/>
      <w:sz w:val="20"/>
      <w:szCs w:val="20"/>
    </w:rPr>
  </w:style>
  <w:style w:type="paragraph" w:styleId="Title">
    <w:name w:val="Title"/>
    <w:basedOn w:val="Normal"/>
    <w:next w:val="Normal"/>
    <w:link w:val="TitleChar"/>
    <w:uiPriority w:val="10"/>
    <w:qFormat/>
    <w:rsid w:val="004B54CA"/>
    <w:pPr>
      <w:pBdr>
        <w:bottom w:val="single" w:sz="4" w:space="1" w:color="auto"/>
      </w:pBdr>
      <w:spacing w:line="240" w:lineRule="auto"/>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4B54CA"/>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4B54CA"/>
    <w:pPr>
      <w:spacing w:after="600"/>
    </w:pPr>
    <w:rPr>
      <w:rFonts w:eastAsiaTheme="majorEastAsia" w:cstheme="majorBidi"/>
      <w:i/>
      <w:iCs/>
      <w:spacing w:val="13"/>
      <w:sz w:val="24"/>
      <w:szCs w:val="24"/>
    </w:rPr>
  </w:style>
  <w:style w:type="character" w:customStyle="1" w:styleId="SubtitleChar">
    <w:name w:val="Subtitle Char"/>
    <w:basedOn w:val="DefaultParagraphFont"/>
    <w:link w:val="Subtitle"/>
    <w:uiPriority w:val="11"/>
    <w:rsid w:val="004B54CA"/>
    <w:rPr>
      <w:rFonts w:ascii="Arial" w:eastAsiaTheme="majorEastAsia" w:hAnsi="Arial" w:cstheme="majorBidi"/>
      <w:i/>
      <w:iCs/>
      <w:spacing w:val="13"/>
      <w:sz w:val="24"/>
      <w:szCs w:val="24"/>
    </w:rPr>
  </w:style>
  <w:style w:type="character" w:styleId="SubtleEmphasis">
    <w:name w:val="Subtle Emphasis"/>
    <w:uiPriority w:val="19"/>
    <w:qFormat/>
    <w:rsid w:val="004B54CA"/>
    <w:rPr>
      <w:i/>
      <w:iCs/>
    </w:rPr>
  </w:style>
  <w:style w:type="character" w:styleId="Strong">
    <w:name w:val="Strong"/>
    <w:uiPriority w:val="22"/>
    <w:qFormat/>
    <w:rsid w:val="004B54CA"/>
    <w:rPr>
      <w:b/>
      <w:bCs/>
    </w:rPr>
  </w:style>
  <w:style w:type="paragraph" w:styleId="ListParagraph">
    <w:name w:val="List Paragraph"/>
    <w:aliases w:val="Bullet Point,Bullet points,Content descriptions,L,List Paragraph1,List Paragraph11,Recommendation,AR bullet 1"/>
    <w:basedOn w:val="Normal"/>
    <w:link w:val="ListParagraphChar"/>
    <w:uiPriority w:val="34"/>
    <w:qFormat/>
    <w:rsid w:val="004B54CA"/>
    <w:pPr>
      <w:ind w:left="720"/>
      <w:contextualSpacing/>
    </w:pPr>
  </w:style>
  <w:style w:type="character" w:styleId="Emphasis">
    <w:name w:val="Emphasis"/>
    <w:uiPriority w:val="20"/>
    <w:qFormat/>
    <w:rsid w:val="004B54CA"/>
    <w:rPr>
      <w:b/>
      <w:bCs/>
      <w:i/>
      <w:iCs/>
      <w:spacing w:val="10"/>
      <w:bdr w:val="none" w:sz="0" w:space="0" w:color="auto"/>
      <w:shd w:val="clear" w:color="auto" w:fill="auto"/>
    </w:rPr>
  </w:style>
  <w:style w:type="character" w:styleId="IntenseEmphasis">
    <w:name w:val="Intense Emphasis"/>
    <w:uiPriority w:val="21"/>
    <w:qFormat/>
    <w:rsid w:val="004B54CA"/>
    <w:rPr>
      <w:b/>
      <w:bCs/>
    </w:rPr>
  </w:style>
  <w:style w:type="paragraph" w:styleId="Quote">
    <w:name w:val="Quote"/>
    <w:basedOn w:val="Normal"/>
    <w:next w:val="Normal"/>
    <w:link w:val="QuoteChar"/>
    <w:uiPriority w:val="29"/>
    <w:qFormat/>
    <w:rsid w:val="004B54CA"/>
    <w:pPr>
      <w:spacing w:before="200" w:after="0"/>
      <w:ind w:left="360" w:right="360"/>
    </w:pPr>
    <w:rPr>
      <w:i/>
      <w:iCs/>
    </w:rPr>
  </w:style>
  <w:style w:type="character" w:customStyle="1" w:styleId="QuoteChar">
    <w:name w:val="Quote Char"/>
    <w:basedOn w:val="DefaultParagraphFont"/>
    <w:link w:val="Quote"/>
    <w:uiPriority w:val="29"/>
    <w:rsid w:val="004B54CA"/>
    <w:rPr>
      <w:rFonts w:ascii="Arial" w:hAnsi="Arial"/>
      <w:i/>
      <w:iCs/>
    </w:rPr>
  </w:style>
  <w:style w:type="paragraph" w:styleId="IntenseQuote">
    <w:name w:val="Intense Quote"/>
    <w:basedOn w:val="Normal"/>
    <w:next w:val="Normal"/>
    <w:link w:val="IntenseQuoteChar"/>
    <w:uiPriority w:val="30"/>
    <w:qFormat/>
    <w:rsid w:val="004B54CA"/>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4B54CA"/>
    <w:rPr>
      <w:rFonts w:ascii="Arial" w:hAnsi="Arial"/>
      <w:b/>
      <w:bCs/>
      <w:i/>
      <w:iCs/>
    </w:rPr>
  </w:style>
  <w:style w:type="character" w:styleId="SubtleReference">
    <w:name w:val="Subtle Reference"/>
    <w:uiPriority w:val="31"/>
    <w:qFormat/>
    <w:rsid w:val="004B54CA"/>
    <w:rPr>
      <w:smallCaps/>
    </w:rPr>
  </w:style>
  <w:style w:type="character" w:styleId="IntenseReference">
    <w:name w:val="Intense Reference"/>
    <w:uiPriority w:val="32"/>
    <w:qFormat/>
    <w:rsid w:val="004B54CA"/>
    <w:rPr>
      <w:smallCaps/>
      <w:spacing w:val="5"/>
      <w:u w:val="single"/>
    </w:rPr>
  </w:style>
  <w:style w:type="character" w:styleId="BookTitle">
    <w:name w:val="Book Title"/>
    <w:uiPriority w:val="33"/>
    <w:qFormat/>
    <w:rsid w:val="004B54CA"/>
    <w:rPr>
      <w:i/>
      <w:iCs/>
      <w:smallCaps/>
      <w:spacing w:val="5"/>
    </w:rPr>
  </w:style>
  <w:style w:type="paragraph" w:styleId="Caption">
    <w:name w:val="caption"/>
    <w:basedOn w:val="Normal"/>
    <w:next w:val="Normal"/>
    <w:uiPriority w:val="35"/>
    <w:semiHidden/>
    <w:unhideWhenUsed/>
    <w:rsid w:val="00785261"/>
    <w:rPr>
      <w:b/>
      <w:bCs/>
      <w:caps/>
      <w:sz w:val="16"/>
      <w:szCs w:val="18"/>
    </w:rPr>
  </w:style>
  <w:style w:type="paragraph" w:styleId="TOCHeading">
    <w:name w:val="TOC Heading"/>
    <w:basedOn w:val="Heading1"/>
    <w:next w:val="Normal"/>
    <w:uiPriority w:val="39"/>
    <w:semiHidden/>
    <w:unhideWhenUsed/>
    <w:qFormat/>
    <w:rsid w:val="004B54CA"/>
    <w:pPr>
      <w:outlineLvl w:val="9"/>
    </w:pPr>
    <w:rPr>
      <w:lang w:bidi="en-US"/>
    </w:rPr>
  </w:style>
  <w:style w:type="character" w:customStyle="1" w:styleId="NoSpacingChar">
    <w:name w:val="No Spacing Char"/>
    <w:basedOn w:val="DefaultParagraphFont"/>
    <w:link w:val="NoSpacing"/>
    <w:uiPriority w:val="1"/>
    <w:rsid w:val="004B54CA"/>
    <w:rPr>
      <w:rFonts w:ascii="Arial" w:hAnsi="Arial"/>
    </w:rPr>
  </w:style>
  <w:style w:type="paragraph" w:styleId="Header">
    <w:name w:val="header"/>
    <w:basedOn w:val="Normal"/>
    <w:link w:val="HeaderChar"/>
    <w:uiPriority w:val="99"/>
    <w:unhideWhenUsed/>
    <w:rsid w:val="003805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3805FE"/>
    <w:rPr>
      <w:rFonts w:ascii="Arial" w:hAnsi="Arial"/>
    </w:rPr>
  </w:style>
  <w:style w:type="paragraph" w:styleId="Footer">
    <w:name w:val="footer"/>
    <w:basedOn w:val="Normal"/>
    <w:link w:val="FooterChar"/>
    <w:uiPriority w:val="99"/>
    <w:unhideWhenUsed/>
    <w:rsid w:val="003805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3805FE"/>
    <w:rPr>
      <w:rFonts w:ascii="Arial" w:hAnsi="Arial"/>
    </w:rPr>
  </w:style>
  <w:style w:type="paragraph" w:styleId="BalloonText">
    <w:name w:val="Balloon Text"/>
    <w:basedOn w:val="Normal"/>
    <w:link w:val="BalloonTextChar"/>
    <w:uiPriority w:val="99"/>
    <w:semiHidden/>
    <w:unhideWhenUsed/>
    <w:rsid w:val="003805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05FE"/>
    <w:rPr>
      <w:rFonts w:ascii="Tahoma" w:hAnsi="Tahoma" w:cs="Tahoma"/>
      <w:sz w:val="16"/>
      <w:szCs w:val="16"/>
    </w:rPr>
  </w:style>
  <w:style w:type="paragraph" w:customStyle="1" w:styleId="Pa0">
    <w:name w:val="Pa0"/>
    <w:basedOn w:val="Normal"/>
    <w:next w:val="Normal"/>
    <w:uiPriority w:val="99"/>
    <w:rsid w:val="003805FE"/>
    <w:pPr>
      <w:autoSpaceDE w:val="0"/>
      <w:autoSpaceDN w:val="0"/>
      <w:adjustRightInd w:val="0"/>
      <w:spacing w:after="0" w:line="221" w:lineRule="atLeast"/>
    </w:pPr>
    <w:rPr>
      <w:rFonts w:ascii="Times New Roman" w:hAnsi="Times New Roman" w:cs="Times New Roman"/>
      <w:sz w:val="24"/>
      <w:szCs w:val="24"/>
    </w:rPr>
  </w:style>
  <w:style w:type="character" w:styleId="Hyperlink">
    <w:name w:val="Hyperlink"/>
    <w:basedOn w:val="DefaultParagraphFont"/>
    <w:uiPriority w:val="99"/>
    <w:unhideWhenUsed/>
    <w:rsid w:val="003805FE"/>
    <w:rPr>
      <w:color w:val="0000FF" w:themeColor="hyperlink"/>
      <w:u w:val="single"/>
    </w:rPr>
  </w:style>
  <w:style w:type="character" w:customStyle="1" w:styleId="ListParagraphChar">
    <w:name w:val="List Paragraph Char"/>
    <w:aliases w:val="Bullet Point Char,Bullet points Char,Content descriptions Char,L Char,List Paragraph1 Char,List Paragraph11 Char,Recommendation Char,AR bullet 1 Char"/>
    <w:basedOn w:val="DefaultParagraphFont"/>
    <w:link w:val="ListParagraph"/>
    <w:uiPriority w:val="34"/>
    <w:rsid w:val="003805FE"/>
    <w:rPr>
      <w:rFonts w:ascii="Arial" w:hAnsi="Arial"/>
    </w:rPr>
  </w:style>
  <w:style w:type="paragraph" w:customStyle="1" w:styleId="Default">
    <w:name w:val="Default"/>
    <w:rsid w:val="00B87FB7"/>
    <w:pPr>
      <w:autoSpaceDE w:val="0"/>
      <w:autoSpaceDN w:val="0"/>
      <w:adjustRightInd w:val="0"/>
      <w:spacing w:after="0" w:line="240" w:lineRule="auto"/>
    </w:pPr>
    <w:rPr>
      <w:rFonts w:ascii="Book Antiqua" w:hAnsi="Book Antiqua" w:cs="Book Antiqua"/>
      <w:color w:val="000000"/>
      <w:sz w:val="24"/>
      <w:szCs w:val="24"/>
    </w:rPr>
  </w:style>
  <w:style w:type="paragraph" w:styleId="NormalWeb">
    <w:name w:val="Normal (Web)"/>
    <w:basedOn w:val="Normal"/>
    <w:uiPriority w:val="99"/>
    <w:unhideWhenUsed/>
    <w:rsid w:val="00AA420A"/>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CommentReference">
    <w:name w:val="annotation reference"/>
    <w:basedOn w:val="DefaultParagraphFont"/>
    <w:uiPriority w:val="99"/>
    <w:semiHidden/>
    <w:unhideWhenUsed/>
    <w:rsid w:val="00B466E9"/>
    <w:rPr>
      <w:sz w:val="16"/>
      <w:szCs w:val="16"/>
    </w:rPr>
  </w:style>
  <w:style w:type="paragraph" w:styleId="CommentText">
    <w:name w:val="annotation text"/>
    <w:basedOn w:val="Normal"/>
    <w:link w:val="CommentTextChar"/>
    <w:uiPriority w:val="99"/>
    <w:semiHidden/>
    <w:unhideWhenUsed/>
    <w:rsid w:val="00B466E9"/>
    <w:pPr>
      <w:spacing w:line="240" w:lineRule="auto"/>
    </w:pPr>
    <w:rPr>
      <w:sz w:val="20"/>
      <w:szCs w:val="20"/>
    </w:rPr>
  </w:style>
  <w:style w:type="character" w:customStyle="1" w:styleId="CommentTextChar">
    <w:name w:val="Comment Text Char"/>
    <w:basedOn w:val="DefaultParagraphFont"/>
    <w:link w:val="CommentText"/>
    <w:uiPriority w:val="99"/>
    <w:semiHidden/>
    <w:rsid w:val="00B466E9"/>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B466E9"/>
    <w:rPr>
      <w:b/>
      <w:bCs/>
    </w:rPr>
  </w:style>
  <w:style w:type="character" w:customStyle="1" w:styleId="CommentSubjectChar">
    <w:name w:val="Comment Subject Char"/>
    <w:basedOn w:val="CommentTextChar"/>
    <w:link w:val="CommentSubject"/>
    <w:uiPriority w:val="99"/>
    <w:semiHidden/>
    <w:rsid w:val="00B466E9"/>
    <w:rPr>
      <w:rFonts w:ascii="Arial" w:hAnsi="Arial"/>
      <w:b/>
      <w:bCs/>
      <w:sz w:val="20"/>
      <w:szCs w:val="20"/>
    </w:rPr>
  </w:style>
  <w:style w:type="paragraph" w:styleId="Revision">
    <w:name w:val="Revision"/>
    <w:hidden/>
    <w:uiPriority w:val="99"/>
    <w:semiHidden/>
    <w:rsid w:val="00182DC6"/>
    <w:pPr>
      <w:spacing w:after="0" w:line="240" w:lineRule="auto"/>
    </w:pPr>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4CA"/>
    <w:rPr>
      <w:rFonts w:ascii="Arial" w:hAnsi="Arial"/>
    </w:rPr>
  </w:style>
  <w:style w:type="paragraph" w:styleId="Heading1">
    <w:name w:val="heading 1"/>
    <w:basedOn w:val="Normal"/>
    <w:next w:val="Normal"/>
    <w:link w:val="Heading1Char"/>
    <w:uiPriority w:val="9"/>
    <w:qFormat/>
    <w:rsid w:val="004B54CA"/>
    <w:pPr>
      <w:spacing w:before="480" w:after="0"/>
      <w:contextualSpacing/>
      <w:outlineLvl w:val="0"/>
    </w:pPr>
    <w:rPr>
      <w:rFonts w:eastAsiaTheme="majorEastAsia" w:cstheme="majorBidi"/>
      <w:b/>
      <w:bCs/>
      <w:sz w:val="32"/>
      <w:szCs w:val="28"/>
    </w:rPr>
  </w:style>
  <w:style w:type="paragraph" w:styleId="Heading2">
    <w:name w:val="heading 2"/>
    <w:basedOn w:val="Normal"/>
    <w:next w:val="Normal"/>
    <w:link w:val="Heading2Char"/>
    <w:uiPriority w:val="9"/>
    <w:unhideWhenUsed/>
    <w:qFormat/>
    <w:rsid w:val="004B54CA"/>
    <w:pPr>
      <w:spacing w:before="200" w:after="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4B54CA"/>
    <w:pPr>
      <w:spacing w:before="200" w:after="0" w:line="271" w:lineRule="auto"/>
      <w:outlineLvl w:val="2"/>
    </w:pPr>
    <w:rPr>
      <w:rFonts w:eastAsiaTheme="majorEastAsia" w:cstheme="majorBidi"/>
      <w:b/>
      <w:bCs/>
    </w:rPr>
  </w:style>
  <w:style w:type="paragraph" w:styleId="Heading4">
    <w:name w:val="heading 4"/>
    <w:basedOn w:val="Normal"/>
    <w:next w:val="Normal"/>
    <w:link w:val="Heading4Char"/>
    <w:uiPriority w:val="9"/>
    <w:unhideWhenUsed/>
    <w:qFormat/>
    <w:rsid w:val="004B54CA"/>
    <w:pPr>
      <w:spacing w:before="200" w:after="0"/>
      <w:outlineLvl w:val="3"/>
    </w:pPr>
    <w:rPr>
      <w:rFonts w:eastAsiaTheme="majorEastAsia" w:cstheme="majorBidi"/>
      <w:b/>
      <w:bCs/>
      <w:i/>
      <w:iCs/>
    </w:rPr>
  </w:style>
  <w:style w:type="paragraph" w:styleId="Heading5">
    <w:name w:val="heading 5"/>
    <w:basedOn w:val="Normal"/>
    <w:next w:val="Normal"/>
    <w:link w:val="Heading5Char"/>
    <w:uiPriority w:val="9"/>
    <w:unhideWhenUsed/>
    <w:qFormat/>
    <w:rsid w:val="004B54CA"/>
    <w:pPr>
      <w:spacing w:before="200" w:after="0"/>
      <w:outlineLvl w:val="4"/>
    </w:pPr>
    <w:rPr>
      <w:rFonts w:eastAsiaTheme="majorEastAsia" w:cstheme="majorBidi"/>
      <w:b/>
      <w:bCs/>
      <w:color w:val="7F7F7F" w:themeColor="text1" w:themeTint="80"/>
    </w:rPr>
  </w:style>
  <w:style w:type="paragraph" w:styleId="Heading6">
    <w:name w:val="heading 6"/>
    <w:basedOn w:val="Normal"/>
    <w:next w:val="Normal"/>
    <w:link w:val="Heading6Char"/>
    <w:uiPriority w:val="9"/>
    <w:unhideWhenUsed/>
    <w:qFormat/>
    <w:rsid w:val="004B54CA"/>
    <w:pPr>
      <w:spacing w:after="0" w:line="271" w:lineRule="auto"/>
      <w:outlineLvl w:val="5"/>
    </w:pPr>
    <w:rPr>
      <w:rFonts w:eastAsiaTheme="majorEastAsia" w:cstheme="majorBidi"/>
      <w:b/>
      <w:bCs/>
      <w:i/>
      <w:iCs/>
      <w:color w:val="7F7F7F" w:themeColor="text1" w:themeTint="80"/>
    </w:rPr>
  </w:style>
  <w:style w:type="paragraph" w:styleId="Heading7">
    <w:name w:val="heading 7"/>
    <w:basedOn w:val="Normal"/>
    <w:next w:val="Normal"/>
    <w:link w:val="Heading7Char"/>
    <w:uiPriority w:val="9"/>
    <w:unhideWhenUsed/>
    <w:qFormat/>
    <w:rsid w:val="004B54CA"/>
    <w:pPr>
      <w:spacing w:after="0"/>
      <w:outlineLvl w:val="6"/>
    </w:pPr>
    <w:rPr>
      <w:rFonts w:eastAsiaTheme="majorEastAsia" w:cstheme="majorBidi"/>
      <w:i/>
      <w:iCs/>
    </w:rPr>
  </w:style>
  <w:style w:type="paragraph" w:styleId="Heading8">
    <w:name w:val="heading 8"/>
    <w:basedOn w:val="Normal"/>
    <w:next w:val="Normal"/>
    <w:link w:val="Heading8Char"/>
    <w:uiPriority w:val="9"/>
    <w:unhideWhenUsed/>
    <w:qFormat/>
    <w:rsid w:val="004B54CA"/>
    <w:pPr>
      <w:spacing w:after="0"/>
      <w:outlineLvl w:val="7"/>
    </w:pPr>
    <w:rPr>
      <w:rFonts w:eastAsiaTheme="majorEastAsia" w:cstheme="majorBidi"/>
      <w:sz w:val="20"/>
      <w:szCs w:val="20"/>
    </w:rPr>
  </w:style>
  <w:style w:type="paragraph" w:styleId="Heading9">
    <w:name w:val="heading 9"/>
    <w:basedOn w:val="Normal"/>
    <w:next w:val="Normal"/>
    <w:link w:val="Heading9Char"/>
    <w:uiPriority w:val="9"/>
    <w:unhideWhenUsed/>
    <w:qFormat/>
    <w:rsid w:val="004B54CA"/>
    <w:pPr>
      <w:spacing w:after="0"/>
      <w:outlineLvl w:val="8"/>
    </w:pPr>
    <w:rPr>
      <w:rFonts w:eastAsiaTheme="majorEastAsia"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54CA"/>
    <w:rPr>
      <w:rFonts w:ascii="Arial" w:eastAsiaTheme="majorEastAsia" w:hAnsi="Arial" w:cstheme="majorBidi"/>
      <w:b/>
      <w:bCs/>
      <w:sz w:val="32"/>
      <w:szCs w:val="28"/>
    </w:rPr>
  </w:style>
  <w:style w:type="character" w:customStyle="1" w:styleId="Heading2Char">
    <w:name w:val="Heading 2 Char"/>
    <w:basedOn w:val="DefaultParagraphFont"/>
    <w:link w:val="Heading2"/>
    <w:uiPriority w:val="9"/>
    <w:rsid w:val="004B54CA"/>
    <w:rPr>
      <w:rFonts w:ascii="Arial" w:eastAsiaTheme="majorEastAsia" w:hAnsi="Arial" w:cstheme="majorBidi"/>
      <w:b/>
      <w:bCs/>
      <w:sz w:val="26"/>
      <w:szCs w:val="26"/>
    </w:rPr>
  </w:style>
  <w:style w:type="paragraph" w:styleId="NoSpacing">
    <w:name w:val="No Spacing"/>
    <w:basedOn w:val="Normal"/>
    <w:link w:val="NoSpacingChar"/>
    <w:uiPriority w:val="1"/>
    <w:qFormat/>
    <w:rsid w:val="004B54CA"/>
    <w:pPr>
      <w:spacing w:after="0" w:line="240" w:lineRule="auto"/>
    </w:pPr>
  </w:style>
  <w:style w:type="character" w:customStyle="1" w:styleId="Heading3Char">
    <w:name w:val="Heading 3 Char"/>
    <w:basedOn w:val="DefaultParagraphFont"/>
    <w:link w:val="Heading3"/>
    <w:uiPriority w:val="9"/>
    <w:rsid w:val="004B54CA"/>
    <w:rPr>
      <w:rFonts w:ascii="Arial" w:eastAsiaTheme="majorEastAsia" w:hAnsi="Arial" w:cstheme="majorBidi"/>
      <w:b/>
      <w:bCs/>
    </w:rPr>
  </w:style>
  <w:style w:type="character" w:customStyle="1" w:styleId="Heading4Char">
    <w:name w:val="Heading 4 Char"/>
    <w:basedOn w:val="DefaultParagraphFont"/>
    <w:link w:val="Heading4"/>
    <w:uiPriority w:val="9"/>
    <w:rsid w:val="004B54CA"/>
    <w:rPr>
      <w:rFonts w:ascii="Arial" w:eastAsiaTheme="majorEastAsia" w:hAnsi="Arial" w:cstheme="majorBidi"/>
      <w:b/>
      <w:bCs/>
      <w:i/>
      <w:iCs/>
    </w:rPr>
  </w:style>
  <w:style w:type="character" w:customStyle="1" w:styleId="Heading5Char">
    <w:name w:val="Heading 5 Char"/>
    <w:basedOn w:val="DefaultParagraphFont"/>
    <w:link w:val="Heading5"/>
    <w:uiPriority w:val="9"/>
    <w:rsid w:val="004B54CA"/>
    <w:rPr>
      <w:rFonts w:ascii="Arial" w:eastAsiaTheme="majorEastAsia" w:hAnsi="Arial" w:cstheme="majorBidi"/>
      <w:b/>
      <w:bCs/>
      <w:color w:val="7F7F7F" w:themeColor="text1" w:themeTint="80"/>
    </w:rPr>
  </w:style>
  <w:style w:type="character" w:customStyle="1" w:styleId="Heading6Char">
    <w:name w:val="Heading 6 Char"/>
    <w:basedOn w:val="DefaultParagraphFont"/>
    <w:link w:val="Heading6"/>
    <w:uiPriority w:val="9"/>
    <w:rsid w:val="004B54CA"/>
    <w:rPr>
      <w:rFonts w:ascii="Arial" w:eastAsiaTheme="majorEastAsia" w:hAnsi="Arial" w:cstheme="majorBidi"/>
      <w:b/>
      <w:bCs/>
      <w:i/>
      <w:iCs/>
      <w:color w:val="7F7F7F" w:themeColor="text1" w:themeTint="80"/>
    </w:rPr>
  </w:style>
  <w:style w:type="character" w:customStyle="1" w:styleId="Heading7Char">
    <w:name w:val="Heading 7 Char"/>
    <w:basedOn w:val="DefaultParagraphFont"/>
    <w:link w:val="Heading7"/>
    <w:uiPriority w:val="9"/>
    <w:rsid w:val="004B54CA"/>
    <w:rPr>
      <w:rFonts w:ascii="Arial" w:eastAsiaTheme="majorEastAsia" w:hAnsi="Arial" w:cstheme="majorBidi"/>
      <w:i/>
      <w:iCs/>
    </w:rPr>
  </w:style>
  <w:style w:type="character" w:customStyle="1" w:styleId="Heading8Char">
    <w:name w:val="Heading 8 Char"/>
    <w:basedOn w:val="DefaultParagraphFont"/>
    <w:link w:val="Heading8"/>
    <w:uiPriority w:val="9"/>
    <w:rsid w:val="004B54CA"/>
    <w:rPr>
      <w:rFonts w:ascii="Arial" w:eastAsiaTheme="majorEastAsia" w:hAnsi="Arial" w:cstheme="majorBidi"/>
      <w:sz w:val="20"/>
      <w:szCs w:val="20"/>
    </w:rPr>
  </w:style>
  <w:style w:type="character" w:customStyle="1" w:styleId="Heading9Char">
    <w:name w:val="Heading 9 Char"/>
    <w:basedOn w:val="DefaultParagraphFont"/>
    <w:link w:val="Heading9"/>
    <w:uiPriority w:val="9"/>
    <w:rsid w:val="004B54CA"/>
    <w:rPr>
      <w:rFonts w:ascii="Arial" w:eastAsiaTheme="majorEastAsia" w:hAnsi="Arial" w:cstheme="majorBidi"/>
      <w:i/>
      <w:iCs/>
      <w:spacing w:val="5"/>
      <w:sz w:val="20"/>
      <w:szCs w:val="20"/>
    </w:rPr>
  </w:style>
  <w:style w:type="paragraph" w:styleId="Title">
    <w:name w:val="Title"/>
    <w:basedOn w:val="Normal"/>
    <w:next w:val="Normal"/>
    <w:link w:val="TitleChar"/>
    <w:uiPriority w:val="10"/>
    <w:qFormat/>
    <w:rsid w:val="004B54CA"/>
    <w:pPr>
      <w:pBdr>
        <w:bottom w:val="single" w:sz="4" w:space="1" w:color="auto"/>
      </w:pBdr>
      <w:spacing w:line="240" w:lineRule="auto"/>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4B54CA"/>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4B54CA"/>
    <w:pPr>
      <w:spacing w:after="600"/>
    </w:pPr>
    <w:rPr>
      <w:rFonts w:eastAsiaTheme="majorEastAsia" w:cstheme="majorBidi"/>
      <w:i/>
      <w:iCs/>
      <w:spacing w:val="13"/>
      <w:sz w:val="24"/>
      <w:szCs w:val="24"/>
    </w:rPr>
  </w:style>
  <w:style w:type="character" w:customStyle="1" w:styleId="SubtitleChar">
    <w:name w:val="Subtitle Char"/>
    <w:basedOn w:val="DefaultParagraphFont"/>
    <w:link w:val="Subtitle"/>
    <w:uiPriority w:val="11"/>
    <w:rsid w:val="004B54CA"/>
    <w:rPr>
      <w:rFonts w:ascii="Arial" w:eastAsiaTheme="majorEastAsia" w:hAnsi="Arial" w:cstheme="majorBidi"/>
      <w:i/>
      <w:iCs/>
      <w:spacing w:val="13"/>
      <w:sz w:val="24"/>
      <w:szCs w:val="24"/>
    </w:rPr>
  </w:style>
  <w:style w:type="character" w:styleId="SubtleEmphasis">
    <w:name w:val="Subtle Emphasis"/>
    <w:uiPriority w:val="19"/>
    <w:qFormat/>
    <w:rsid w:val="004B54CA"/>
    <w:rPr>
      <w:i/>
      <w:iCs/>
    </w:rPr>
  </w:style>
  <w:style w:type="character" w:styleId="Strong">
    <w:name w:val="Strong"/>
    <w:uiPriority w:val="22"/>
    <w:qFormat/>
    <w:rsid w:val="004B54CA"/>
    <w:rPr>
      <w:b/>
      <w:bCs/>
    </w:rPr>
  </w:style>
  <w:style w:type="paragraph" w:styleId="ListParagraph">
    <w:name w:val="List Paragraph"/>
    <w:aliases w:val="Bullet Point,Bullet points,Content descriptions,L,List Paragraph1,List Paragraph11,Recommendation,AR bullet 1"/>
    <w:basedOn w:val="Normal"/>
    <w:link w:val="ListParagraphChar"/>
    <w:uiPriority w:val="34"/>
    <w:qFormat/>
    <w:rsid w:val="004B54CA"/>
    <w:pPr>
      <w:ind w:left="720"/>
      <w:contextualSpacing/>
    </w:pPr>
  </w:style>
  <w:style w:type="character" w:styleId="Emphasis">
    <w:name w:val="Emphasis"/>
    <w:uiPriority w:val="20"/>
    <w:qFormat/>
    <w:rsid w:val="004B54CA"/>
    <w:rPr>
      <w:b/>
      <w:bCs/>
      <w:i/>
      <w:iCs/>
      <w:spacing w:val="10"/>
      <w:bdr w:val="none" w:sz="0" w:space="0" w:color="auto"/>
      <w:shd w:val="clear" w:color="auto" w:fill="auto"/>
    </w:rPr>
  </w:style>
  <w:style w:type="character" w:styleId="IntenseEmphasis">
    <w:name w:val="Intense Emphasis"/>
    <w:uiPriority w:val="21"/>
    <w:qFormat/>
    <w:rsid w:val="004B54CA"/>
    <w:rPr>
      <w:b/>
      <w:bCs/>
    </w:rPr>
  </w:style>
  <w:style w:type="paragraph" w:styleId="Quote">
    <w:name w:val="Quote"/>
    <w:basedOn w:val="Normal"/>
    <w:next w:val="Normal"/>
    <w:link w:val="QuoteChar"/>
    <w:uiPriority w:val="29"/>
    <w:qFormat/>
    <w:rsid w:val="004B54CA"/>
    <w:pPr>
      <w:spacing w:before="200" w:after="0"/>
      <w:ind w:left="360" w:right="360"/>
    </w:pPr>
    <w:rPr>
      <w:i/>
      <w:iCs/>
    </w:rPr>
  </w:style>
  <w:style w:type="character" w:customStyle="1" w:styleId="QuoteChar">
    <w:name w:val="Quote Char"/>
    <w:basedOn w:val="DefaultParagraphFont"/>
    <w:link w:val="Quote"/>
    <w:uiPriority w:val="29"/>
    <w:rsid w:val="004B54CA"/>
    <w:rPr>
      <w:rFonts w:ascii="Arial" w:hAnsi="Arial"/>
      <w:i/>
      <w:iCs/>
    </w:rPr>
  </w:style>
  <w:style w:type="paragraph" w:styleId="IntenseQuote">
    <w:name w:val="Intense Quote"/>
    <w:basedOn w:val="Normal"/>
    <w:next w:val="Normal"/>
    <w:link w:val="IntenseQuoteChar"/>
    <w:uiPriority w:val="30"/>
    <w:qFormat/>
    <w:rsid w:val="004B54CA"/>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4B54CA"/>
    <w:rPr>
      <w:rFonts w:ascii="Arial" w:hAnsi="Arial"/>
      <w:b/>
      <w:bCs/>
      <w:i/>
      <w:iCs/>
    </w:rPr>
  </w:style>
  <w:style w:type="character" w:styleId="SubtleReference">
    <w:name w:val="Subtle Reference"/>
    <w:uiPriority w:val="31"/>
    <w:qFormat/>
    <w:rsid w:val="004B54CA"/>
    <w:rPr>
      <w:smallCaps/>
    </w:rPr>
  </w:style>
  <w:style w:type="character" w:styleId="IntenseReference">
    <w:name w:val="Intense Reference"/>
    <w:uiPriority w:val="32"/>
    <w:qFormat/>
    <w:rsid w:val="004B54CA"/>
    <w:rPr>
      <w:smallCaps/>
      <w:spacing w:val="5"/>
      <w:u w:val="single"/>
    </w:rPr>
  </w:style>
  <w:style w:type="character" w:styleId="BookTitle">
    <w:name w:val="Book Title"/>
    <w:uiPriority w:val="33"/>
    <w:qFormat/>
    <w:rsid w:val="004B54CA"/>
    <w:rPr>
      <w:i/>
      <w:iCs/>
      <w:smallCaps/>
      <w:spacing w:val="5"/>
    </w:rPr>
  </w:style>
  <w:style w:type="paragraph" w:styleId="Caption">
    <w:name w:val="caption"/>
    <w:basedOn w:val="Normal"/>
    <w:next w:val="Normal"/>
    <w:uiPriority w:val="35"/>
    <w:semiHidden/>
    <w:unhideWhenUsed/>
    <w:rsid w:val="00785261"/>
    <w:rPr>
      <w:b/>
      <w:bCs/>
      <w:caps/>
      <w:sz w:val="16"/>
      <w:szCs w:val="18"/>
    </w:rPr>
  </w:style>
  <w:style w:type="paragraph" w:styleId="TOCHeading">
    <w:name w:val="TOC Heading"/>
    <w:basedOn w:val="Heading1"/>
    <w:next w:val="Normal"/>
    <w:uiPriority w:val="39"/>
    <w:semiHidden/>
    <w:unhideWhenUsed/>
    <w:qFormat/>
    <w:rsid w:val="004B54CA"/>
    <w:pPr>
      <w:outlineLvl w:val="9"/>
    </w:pPr>
    <w:rPr>
      <w:lang w:bidi="en-US"/>
    </w:rPr>
  </w:style>
  <w:style w:type="character" w:customStyle="1" w:styleId="NoSpacingChar">
    <w:name w:val="No Spacing Char"/>
    <w:basedOn w:val="DefaultParagraphFont"/>
    <w:link w:val="NoSpacing"/>
    <w:uiPriority w:val="1"/>
    <w:rsid w:val="004B54CA"/>
    <w:rPr>
      <w:rFonts w:ascii="Arial" w:hAnsi="Arial"/>
    </w:rPr>
  </w:style>
  <w:style w:type="paragraph" w:styleId="Header">
    <w:name w:val="header"/>
    <w:basedOn w:val="Normal"/>
    <w:link w:val="HeaderChar"/>
    <w:uiPriority w:val="99"/>
    <w:unhideWhenUsed/>
    <w:rsid w:val="003805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3805FE"/>
    <w:rPr>
      <w:rFonts w:ascii="Arial" w:hAnsi="Arial"/>
    </w:rPr>
  </w:style>
  <w:style w:type="paragraph" w:styleId="Footer">
    <w:name w:val="footer"/>
    <w:basedOn w:val="Normal"/>
    <w:link w:val="FooterChar"/>
    <w:uiPriority w:val="99"/>
    <w:unhideWhenUsed/>
    <w:rsid w:val="003805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3805FE"/>
    <w:rPr>
      <w:rFonts w:ascii="Arial" w:hAnsi="Arial"/>
    </w:rPr>
  </w:style>
  <w:style w:type="paragraph" w:styleId="BalloonText">
    <w:name w:val="Balloon Text"/>
    <w:basedOn w:val="Normal"/>
    <w:link w:val="BalloonTextChar"/>
    <w:uiPriority w:val="99"/>
    <w:semiHidden/>
    <w:unhideWhenUsed/>
    <w:rsid w:val="003805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05FE"/>
    <w:rPr>
      <w:rFonts w:ascii="Tahoma" w:hAnsi="Tahoma" w:cs="Tahoma"/>
      <w:sz w:val="16"/>
      <w:szCs w:val="16"/>
    </w:rPr>
  </w:style>
  <w:style w:type="paragraph" w:customStyle="1" w:styleId="Pa0">
    <w:name w:val="Pa0"/>
    <w:basedOn w:val="Normal"/>
    <w:next w:val="Normal"/>
    <w:uiPriority w:val="99"/>
    <w:rsid w:val="003805FE"/>
    <w:pPr>
      <w:autoSpaceDE w:val="0"/>
      <w:autoSpaceDN w:val="0"/>
      <w:adjustRightInd w:val="0"/>
      <w:spacing w:after="0" w:line="221" w:lineRule="atLeast"/>
    </w:pPr>
    <w:rPr>
      <w:rFonts w:ascii="Times New Roman" w:hAnsi="Times New Roman" w:cs="Times New Roman"/>
      <w:sz w:val="24"/>
      <w:szCs w:val="24"/>
    </w:rPr>
  </w:style>
  <w:style w:type="character" w:styleId="Hyperlink">
    <w:name w:val="Hyperlink"/>
    <w:basedOn w:val="DefaultParagraphFont"/>
    <w:uiPriority w:val="99"/>
    <w:unhideWhenUsed/>
    <w:rsid w:val="003805FE"/>
    <w:rPr>
      <w:color w:val="0000FF" w:themeColor="hyperlink"/>
      <w:u w:val="single"/>
    </w:rPr>
  </w:style>
  <w:style w:type="character" w:customStyle="1" w:styleId="ListParagraphChar">
    <w:name w:val="List Paragraph Char"/>
    <w:aliases w:val="Bullet Point Char,Bullet points Char,Content descriptions Char,L Char,List Paragraph1 Char,List Paragraph11 Char,Recommendation Char,AR bullet 1 Char"/>
    <w:basedOn w:val="DefaultParagraphFont"/>
    <w:link w:val="ListParagraph"/>
    <w:uiPriority w:val="34"/>
    <w:rsid w:val="003805FE"/>
    <w:rPr>
      <w:rFonts w:ascii="Arial" w:hAnsi="Arial"/>
    </w:rPr>
  </w:style>
  <w:style w:type="paragraph" w:customStyle="1" w:styleId="Default">
    <w:name w:val="Default"/>
    <w:rsid w:val="00B87FB7"/>
    <w:pPr>
      <w:autoSpaceDE w:val="0"/>
      <w:autoSpaceDN w:val="0"/>
      <w:adjustRightInd w:val="0"/>
      <w:spacing w:after="0" w:line="240" w:lineRule="auto"/>
    </w:pPr>
    <w:rPr>
      <w:rFonts w:ascii="Book Antiqua" w:hAnsi="Book Antiqua" w:cs="Book Antiqua"/>
      <w:color w:val="000000"/>
      <w:sz w:val="24"/>
      <w:szCs w:val="24"/>
    </w:rPr>
  </w:style>
  <w:style w:type="paragraph" w:styleId="NormalWeb">
    <w:name w:val="Normal (Web)"/>
    <w:basedOn w:val="Normal"/>
    <w:uiPriority w:val="99"/>
    <w:unhideWhenUsed/>
    <w:rsid w:val="00AA420A"/>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CommentReference">
    <w:name w:val="annotation reference"/>
    <w:basedOn w:val="DefaultParagraphFont"/>
    <w:uiPriority w:val="99"/>
    <w:semiHidden/>
    <w:unhideWhenUsed/>
    <w:rsid w:val="00B466E9"/>
    <w:rPr>
      <w:sz w:val="16"/>
      <w:szCs w:val="16"/>
    </w:rPr>
  </w:style>
  <w:style w:type="paragraph" w:styleId="CommentText">
    <w:name w:val="annotation text"/>
    <w:basedOn w:val="Normal"/>
    <w:link w:val="CommentTextChar"/>
    <w:uiPriority w:val="99"/>
    <w:semiHidden/>
    <w:unhideWhenUsed/>
    <w:rsid w:val="00B466E9"/>
    <w:pPr>
      <w:spacing w:line="240" w:lineRule="auto"/>
    </w:pPr>
    <w:rPr>
      <w:sz w:val="20"/>
      <w:szCs w:val="20"/>
    </w:rPr>
  </w:style>
  <w:style w:type="character" w:customStyle="1" w:styleId="CommentTextChar">
    <w:name w:val="Comment Text Char"/>
    <w:basedOn w:val="DefaultParagraphFont"/>
    <w:link w:val="CommentText"/>
    <w:uiPriority w:val="99"/>
    <w:semiHidden/>
    <w:rsid w:val="00B466E9"/>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B466E9"/>
    <w:rPr>
      <w:b/>
      <w:bCs/>
    </w:rPr>
  </w:style>
  <w:style w:type="character" w:customStyle="1" w:styleId="CommentSubjectChar">
    <w:name w:val="Comment Subject Char"/>
    <w:basedOn w:val="CommentTextChar"/>
    <w:link w:val="CommentSubject"/>
    <w:uiPriority w:val="99"/>
    <w:semiHidden/>
    <w:rsid w:val="00B466E9"/>
    <w:rPr>
      <w:rFonts w:ascii="Arial" w:hAnsi="Arial"/>
      <w:b/>
      <w:bCs/>
      <w:sz w:val="20"/>
      <w:szCs w:val="20"/>
    </w:rPr>
  </w:style>
  <w:style w:type="paragraph" w:styleId="Revision">
    <w:name w:val="Revision"/>
    <w:hidden/>
    <w:uiPriority w:val="99"/>
    <w:semiHidden/>
    <w:rsid w:val="00182DC6"/>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060144">
      <w:bodyDiv w:val="1"/>
      <w:marLeft w:val="0"/>
      <w:marRight w:val="0"/>
      <w:marTop w:val="0"/>
      <w:marBottom w:val="0"/>
      <w:divBdr>
        <w:top w:val="none" w:sz="0" w:space="0" w:color="auto"/>
        <w:left w:val="none" w:sz="0" w:space="0" w:color="auto"/>
        <w:bottom w:val="none" w:sz="0" w:space="0" w:color="auto"/>
        <w:right w:val="none" w:sz="0" w:space="0" w:color="auto"/>
      </w:divBdr>
    </w:div>
    <w:div w:id="448428988">
      <w:bodyDiv w:val="1"/>
      <w:marLeft w:val="0"/>
      <w:marRight w:val="0"/>
      <w:marTop w:val="0"/>
      <w:marBottom w:val="0"/>
      <w:divBdr>
        <w:top w:val="none" w:sz="0" w:space="0" w:color="auto"/>
        <w:left w:val="none" w:sz="0" w:space="0" w:color="auto"/>
        <w:bottom w:val="none" w:sz="0" w:space="0" w:color="auto"/>
        <w:right w:val="none" w:sz="0" w:space="0" w:color="auto"/>
      </w:divBdr>
    </w:div>
    <w:div w:id="606933122">
      <w:bodyDiv w:val="1"/>
      <w:marLeft w:val="0"/>
      <w:marRight w:val="0"/>
      <w:marTop w:val="0"/>
      <w:marBottom w:val="0"/>
      <w:divBdr>
        <w:top w:val="none" w:sz="0" w:space="0" w:color="auto"/>
        <w:left w:val="none" w:sz="0" w:space="0" w:color="auto"/>
        <w:bottom w:val="none" w:sz="0" w:space="0" w:color="auto"/>
        <w:right w:val="none" w:sz="0" w:space="0" w:color="auto"/>
      </w:divBdr>
    </w:div>
    <w:div w:id="1070153572">
      <w:bodyDiv w:val="1"/>
      <w:marLeft w:val="0"/>
      <w:marRight w:val="0"/>
      <w:marTop w:val="0"/>
      <w:marBottom w:val="0"/>
      <w:divBdr>
        <w:top w:val="none" w:sz="0" w:space="0" w:color="auto"/>
        <w:left w:val="none" w:sz="0" w:space="0" w:color="auto"/>
        <w:bottom w:val="none" w:sz="0" w:space="0" w:color="auto"/>
        <w:right w:val="none" w:sz="0" w:space="0" w:color="auto"/>
      </w:divBdr>
    </w:div>
    <w:div w:id="1187719596">
      <w:bodyDiv w:val="1"/>
      <w:marLeft w:val="0"/>
      <w:marRight w:val="0"/>
      <w:marTop w:val="0"/>
      <w:marBottom w:val="0"/>
      <w:divBdr>
        <w:top w:val="none" w:sz="0" w:space="0" w:color="auto"/>
        <w:left w:val="none" w:sz="0" w:space="0" w:color="auto"/>
        <w:bottom w:val="none" w:sz="0" w:space="0" w:color="auto"/>
        <w:right w:val="none" w:sz="0" w:space="0" w:color="auto"/>
      </w:divBdr>
    </w:div>
    <w:div w:id="1221594505">
      <w:bodyDiv w:val="1"/>
      <w:marLeft w:val="0"/>
      <w:marRight w:val="0"/>
      <w:marTop w:val="0"/>
      <w:marBottom w:val="0"/>
      <w:divBdr>
        <w:top w:val="none" w:sz="0" w:space="0" w:color="auto"/>
        <w:left w:val="none" w:sz="0" w:space="0" w:color="auto"/>
        <w:bottom w:val="none" w:sz="0" w:space="0" w:color="auto"/>
        <w:right w:val="none" w:sz="0" w:space="0" w:color="auto"/>
      </w:divBdr>
    </w:div>
    <w:div w:id="1374425063">
      <w:bodyDiv w:val="1"/>
      <w:marLeft w:val="0"/>
      <w:marRight w:val="0"/>
      <w:marTop w:val="0"/>
      <w:marBottom w:val="0"/>
      <w:divBdr>
        <w:top w:val="none" w:sz="0" w:space="0" w:color="auto"/>
        <w:left w:val="none" w:sz="0" w:space="0" w:color="auto"/>
        <w:bottom w:val="none" w:sz="0" w:space="0" w:color="auto"/>
        <w:right w:val="none" w:sz="0" w:space="0" w:color="auto"/>
      </w:divBdr>
    </w:div>
    <w:div w:id="1506048687">
      <w:bodyDiv w:val="1"/>
      <w:marLeft w:val="0"/>
      <w:marRight w:val="0"/>
      <w:marTop w:val="0"/>
      <w:marBottom w:val="0"/>
      <w:divBdr>
        <w:top w:val="none" w:sz="0" w:space="0" w:color="auto"/>
        <w:left w:val="none" w:sz="0" w:space="0" w:color="auto"/>
        <w:bottom w:val="none" w:sz="0" w:space="0" w:color="auto"/>
        <w:right w:val="none" w:sz="0" w:space="0" w:color="auto"/>
      </w:divBdr>
    </w:div>
    <w:div w:id="1780686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E7A866-8CFA-4620-9F7D-E19D7ECD1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3031</Words>
  <Characters>17281</Characters>
  <Application>Microsoft Office Word</Application>
  <DocSecurity>4</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FaHCSIA</Company>
  <LinksUpToDate>false</LinksUpToDate>
  <CharactersWithSpaces>20272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COLLINS, Tracy-Anne</dc:creator>
  <cp:lastModifiedBy>RATCLIFFE, Jonathan</cp:lastModifiedBy>
  <cp:revision>2</cp:revision>
  <dcterms:created xsi:type="dcterms:W3CDTF">2017-08-15T04:56:00Z</dcterms:created>
  <dcterms:modified xsi:type="dcterms:W3CDTF">2017-08-15T04:56:00Z</dcterms:modified>
</cp:coreProperties>
</file>