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73" w:rsidRDefault="00E01A73"/>
    <w:p w:rsidR="006423B4" w:rsidRDefault="006423B4"/>
    <w:p w:rsidR="000549A4" w:rsidRDefault="000549A4"/>
    <w:p w:rsidR="00EF7AE4" w:rsidRDefault="00EF7AE4" w:rsidP="00B668CE">
      <w:pPr>
        <w:spacing w:after="0"/>
        <w:rPr>
          <w:noProof/>
          <w:lang w:val="en-US"/>
        </w:rPr>
      </w:pPr>
    </w:p>
    <w:p w:rsidR="000549A4" w:rsidRDefault="000549A4" w:rsidP="00B668CE">
      <w:pPr>
        <w:spacing w:after="0"/>
        <w:rPr>
          <w:noProof/>
          <w:lang w:val="en-US"/>
        </w:rPr>
      </w:pPr>
    </w:p>
    <w:p w:rsidR="00725FC9" w:rsidRDefault="00725FC9" w:rsidP="00B668CE">
      <w:pPr>
        <w:spacing w:after="0"/>
        <w:rPr>
          <w:noProof/>
          <w:lang w:val="en-US"/>
        </w:rPr>
        <w:sectPr w:rsidR="00725FC9" w:rsidSect="00725FC9">
          <w:headerReference w:type="even" r:id="rId9"/>
          <w:headerReference w:type="default" r:id="rId10"/>
          <w:footerReference w:type="even" r:id="rId11"/>
          <w:footerReference w:type="default" r:id="rId12"/>
          <w:headerReference w:type="first" r:id="rId13"/>
          <w:footerReference w:type="first" r:id="rId14"/>
          <w:pgSz w:w="11906" w:h="16838" w:code="9"/>
          <w:pgMar w:top="1701" w:right="1021" w:bottom="709" w:left="1021" w:header="709" w:footer="454" w:gutter="0"/>
          <w:cols w:space="708"/>
          <w:titlePg/>
          <w:docGrid w:linePitch="360"/>
        </w:sectPr>
      </w:pPr>
    </w:p>
    <w:p w:rsidR="00A30678" w:rsidRDefault="00A30678" w:rsidP="008644A2">
      <w:bookmarkStart w:id="0" w:name="_Toc424736097"/>
    </w:p>
    <w:p w:rsidR="00CE036D" w:rsidRDefault="00CE036D" w:rsidP="008644A2"/>
    <w:p w:rsidR="00CE036D" w:rsidRDefault="00B2696C" w:rsidP="00CE036D">
      <w:pPr>
        <w:keepNext/>
        <w:keepLines/>
        <w:spacing w:after="0" w:line="280" w:lineRule="exact"/>
        <w:outlineLvl w:val="0"/>
        <w:rPr>
          <w:rFonts w:ascii="Century Gothic" w:eastAsiaTheme="majorEastAsia" w:hAnsi="Century Gothic" w:cstheme="majorBidi"/>
          <w:bCs/>
          <w:color w:val="6D0E09"/>
          <w:sz w:val="28"/>
          <w:szCs w:val="28"/>
        </w:rPr>
      </w:pPr>
      <w:r>
        <w:rPr>
          <w:noProof/>
          <w:lang w:eastAsia="en-AU"/>
        </w:rPr>
        <mc:AlternateContent>
          <mc:Choice Requires="wps">
            <w:drawing>
              <wp:anchor distT="0" distB="0" distL="114300" distR="114300" simplePos="0" relativeHeight="251674624" behindDoc="0" locked="0" layoutInCell="1" allowOverlap="1" wp14:anchorId="11C7A05A" wp14:editId="325F574B">
                <wp:simplePos x="0" y="0"/>
                <wp:positionH relativeFrom="column">
                  <wp:posOffset>-127000</wp:posOffset>
                </wp:positionH>
                <wp:positionV relativeFrom="paragraph">
                  <wp:posOffset>123825</wp:posOffset>
                </wp:positionV>
                <wp:extent cx="3361055" cy="7258050"/>
                <wp:effectExtent l="0" t="0" r="10795" b="19050"/>
                <wp:wrapNone/>
                <wp:docPr id="15" name="Rectangle 15" descr="Decorative" title="Column border"/>
                <wp:cNvGraphicFramePr/>
                <a:graphic xmlns:a="http://schemas.openxmlformats.org/drawingml/2006/main">
                  <a:graphicData uri="http://schemas.microsoft.com/office/word/2010/wordprocessingShape">
                    <wps:wsp>
                      <wps:cNvSpPr/>
                      <wps:spPr>
                        <a:xfrm>
                          <a:off x="0" y="0"/>
                          <a:ext cx="3361055" cy="7258050"/>
                        </a:xfrm>
                        <a:prstGeom prst="rect">
                          <a:avLst/>
                        </a:prstGeom>
                        <a:noFill/>
                        <a:ln w="12700" cap="flat" cmpd="sng" algn="ctr">
                          <a:solidFill>
                            <a:sysClr val="windowText" lastClr="000000">
                              <a:lumMod val="75000"/>
                              <a:lumOff val="25000"/>
                            </a:sys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AF0A5F6" id="Rectangle 15" o:spid="_x0000_s1026" alt="Title: Column border - Description: Decorative" style="position:absolute;margin-left:-10pt;margin-top:9.75pt;width:264.65pt;height:57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" filled="f" strokecolor="#404040" strokeweight="1pt">
                <v:stroke dashstyle="dash"/>
              </v:rect>
            </w:pict>
          </mc:Fallback>
        </mc:AlternateContent>
      </w:r>
    </w:p>
    <w:p w:rsidR="00CE036D" w:rsidRPr="00B2696C" w:rsidRDefault="00CE036D" w:rsidP="00B2696C">
      <w:pPr>
        <w:keepNext/>
        <w:keepLines/>
        <w:spacing w:after="0" w:line="240" w:lineRule="auto"/>
        <w:outlineLvl w:val="0"/>
        <w:rPr>
          <w:rFonts w:ascii="Century Gothic" w:eastAsiaTheme="majorEastAsia" w:hAnsi="Century Gothic" w:cstheme="majorBidi"/>
          <w:bCs/>
          <w:color w:val="6D0E09"/>
          <w:sz w:val="4"/>
          <w:szCs w:val="4"/>
        </w:rPr>
      </w:pPr>
    </w:p>
    <w:p w:rsidR="00EF7AE4" w:rsidRPr="00EF7AE4" w:rsidRDefault="00CE036D" w:rsidP="00CE036D">
      <w:pPr>
        <w:keepNext/>
        <w:keepLines/>
        <w:spacing w:after="0" w:line="280" w:lineRule="exact"/>
        <w:outlineLvl w:val="0"/>
        <w:rPr>
          <w:rFonts w:ascii="Century Gothic" w:eastAsiaTheme="majorEastAsia" w:hAnsi="Century Gothic" w:cstheme="majorBidi"/>
          <w:bCs/>
          <w:color w:val="6D0E09"/>
          <w:sz w:val="28"/>
          <w:szCs w:val="28"/>
        </w:rPr>
      </w:pPr>
      <w:r>
        <w:rPr>
          <w:rFonts w:ascii="Century Gothic" w:eastAsiaTheme="majorEastAsia" w:hAnsi="Century Gothic" w:cstheme="majorBidi"/>
          <w:bCs/>
          <w:color w:val="6D0E09"/>
          <w:sz w:val="28"/>
          <w:szCs w:val="28"/>
        </w:rPr>
        <w:t>W</w:t>
      </w:r>
      <w:r w:rsidR="00EF7AE4" w:rsidRPr="00EF7AE4">
        <w:rPr>
          <w:rFonts w:ascii="Century Gothic" w:eastAsiaTheme="majorEastAsia" w:hAnsi="Century Gothic" w:cstheme="majorBidi"/>
          <w:bCs/>
          <w:color w:val="6D0E09"/>
          <w:sz w:val="28"/>
          <w:szCs w:val="28"/>
        </w:rPr>
        <w:t xml:space="preserve">hat motivates philanthropists? </w:t>
      </w:r>
    </w:p>
    <w:p w:rsidR="00EF7AE4" w:rsidRPr="00EF7AE4" w:rsidRDefault="00EF7AE4" w:rsidP="00CE036D">
      <w:pPr>
        <w:spacing w:after="0" w:line="280" w:lineRule="exact"/>
      </w:pPr>
      <w:r w:rsidRPr="00EF7AE4">
        <w:rPr>
          <w:i/>
        </w:rPr>
        <w:t>Giving Australia 2016</w:t>
      </w:r>
      <w:r w:rsidRPr="00EF7AE4">
        <w:t xml:space="preserve"> tells us making a difference, personal values and relationships motivate givers.</w:t>
      </w:r>
    </w:p>
    <w:p w:rsidR="00EF7AE4" w:rsidRPr="00CE036D" w:rsidRDefault="00EF7AE4" w:rsidP="00CE036D">
      <w:pPr>
        <w:spacing w:after="0" w:line="240" w:lineRule="auto"/>
        <w:rPr>
          <w:sz w:val="12"/>
          <w:szCs w:val="12"/>
        </w:rPr>
      </w:pPr>
      <w:r w:rsidRPr="00CE036D">
        <w:rPr>
          <w:sz w:val="12"/>
          <w:szCs w:val="12"/>
        </w:rPr>
        <w:t xml:space="preserve"> </w:t>
      </w:r>
    </w:p>
    <w:p w:rsidR="00EF7AE4" w:rsidRPr="00EF7AE4" w:rsidRDefault="00EF7AE4" w:rsidP="00CE036D">
      <w:pPr>
        <w:spacing w:after="0" w:line="280" w:lineRule="exact"/>
        <w:rPr>
          <w:rFonts w:ascii="Century Gothic" w:hAnsi="Century Gothic"/>
          <w:b/>
          <w:color w:val="595959" w:themeColor="text1" w:themeTint="A6"/>
          <w:sz w:val="20"/>
          <w:szCs w:val="20"/>
        </w:rPr>
      </w:pPr>
      <w:r w:rsidRPr="00EF7AE4">
        <w:rPr>
          <w:rFonts w:ascii="Century Gothic" w:hAnsi="Century Gothic"/>
          <w:color w:val="595959" w:themeColor="text1" w:themeTint="A6"/>
          <w:sz w:val="20"/>
          <w:szCs w:val="20"/>
        </w:rPr>
        <w:t xml:space="preserve">Table </w:t>
      </w:r>
      <w:r w:rsidRPr="00EF7AE4">
        <w:rPr>
          <w:rFonts w:ascii="Century Gothic" w:hAnsi="Century Gothic"/>
          <w:color w:val="595959" w:themeColor="text1" w:themeTint="A6"/>
          <w:sz w:val="20"/>
          <w:szCs w:val="20"/>
        </w:rPr>
        <w:fldChar w:fldCharType="begin"/>
      </w:r>
      <w:r w:rsidRPr="00EF7AE4">
        <w:rPr>
          <w:rFonts w:ascii="Century Gothic" w:hAnsi="Century Gothic"/>
          <w:color w:val="595959" w:themeColor="text1" w:themeTint="A6"/>
          <w:sz w:val="20"/>
          <w:szCs w:val="20"/>
        </w:rPr>
        <w:instrText xml:space="preserve"> SEQ Table \* ARABIC </w:instrText>
      </w:r>
      <w:r w:rsidRPr="00EF7AE4">
        <w:rPr>
          <w:rFonts w:ascii="Century Gothic" w:hAnsi="Century Gothic"/>
          <w:color w:val="595959" w:themeColor="text1" w:themeTint="A6"/>
          <w:sz w:val="20"/>
          <w:szCs w:val="20"/>
        </w:rPr>
        <w:fldChar w:fldCharType="separate"/>
      </w:r>
      <w:r w:rsidR="00E76B4E">
        <w:rPr>
          <w:rFonts w:ascii="Century Gothic" w:hAnsi="Century Gothic"/>
          <w:noProof/>
          <w:color w:val="595959" w:themeColor="text1" w:themeTint="A6"/>
          <w:sz w:val="20"/>
          <w:szCs w:val="20"/>
        </w:rPr>
        <w:t>1</w:t>
      </w:r>
      <w:r w:rsidRPr="00EF7AE4">
        <w:rPr>
          <w:rFonts w:ascii="Century Gothic" w:hAnsi="Century Gothic"/>
          <w:color w:val="595959" w:themeColor="text1" w:themeTint="A6"/>
          <w:sz w:val="20"/>
          <w:szCs w:val="20"/>
        </w:rPr>
        <w:fldChar w:fldCharType="end"/>
      </w:r>
      <w:r w:rsidRPr="00EF7AE4">
        <w:rPr>
          <w:rFonts w:ascii="Century Gothic" w:hAnsi="Century Gothic"/>
          <w:color w:val="595959" w:themeColor="text1" w:themeTint="A6"/>
          <w:sz w:val="20"/>
          <w:szCs w:val="20"/>
        </w:rPr>
        <w:t>: Factors motivating giving behaviour</w:t>
      </w:r>
      <w:r w:rsidRPr="00EF7AE4">
        <w:rPr>
          <w:rFonts w:ascii="Century Gothic" w:hAnsi="Century Gothic"/>
          <w:b/>
          <w:color w:val="595959" w:themeColor="text1" w:themeTint="A6"/>
          <w:sz w:val="20"/>
          <w:szCs w:val="20"/>
        </w:rPr>
        <w:t xml:space="preserve"> </w:t>
      </w:r>
    </w:p>
    <w:tbl>
      <w:tblPr>
        <w:tblStyle w:val="GivingReportTable1"/>
        <w:tblW w:w="4898" w:type="pct"/>
        <w:tblBorders>
          <w:top w:val="single" w:sz="4" w:space="0" w:color="6D0E09"/>
          <w:bottom w:val="single" w:sz="4" w:space="0" w:color="6D0E09"/>
        </w:tblBorders>
        <w:tblLook w:val="04A0" w:firstRow="1" w:lastRow="0" w:firstColumn="1" w:lastColumn="0" w:noHBand="0" w:noVBand="1"/>
        <w:tblCaption w:val="Factors motivating giving behaviour"/>
        <w:tblDescription w:val="92.9% of respondents to the philanthropists survey said that 'belief that giving can make a difference' motivated them to give. 77.7% were motivated by a desire to give back to the community. 77.7% were motivated by a sense of personal satisfaction. 74.1% said philosophical beliefs were a motivation, the same number said desire to said an example was a factor. 55.6% said that personal involvement, such as board membership with an organisation prompted giving. 51.9% said continuing their existing support was a factor."/>
      </w:tblPr>
      <w:tblGrid>
        <w:gridCol w:w="3859"/>
        <w:gridCol w:w="1296"/>
      </w:tblGrid>
      <w:tr w:rsidR="00EF7AE4" w:rsidRPr="00EF7AE4" w:rsidTr="00C07070">
        <w:trPr>
          <w:cnfStyle w:val="100000000000" w:firstRow="1" w:lastRow="0" w:firstColumn="0" w:lastColumn="0" w:oddVBand="0" w:evenVBand="0" w:oddHBand="0" w:evenHBand="0" w:firstRowFirstColumn="0" w:firstRowLastColumn="0" w:lastRowFirstColumn="0" w:lastRowLastColumn="0"/>
          <w:trHeight w:val="269"/>
          <w:tblHeader/>
        </w:trPr>
        <w:tc>
          <w:tcPr>
            <w:tcW w:w="3743" w:type="pct"/>
            <w:tcBorders>
              <w:top w:val="single" w:sz="4" w:space="0" w:color="6D0E09"/>
              <w:bottom w:val="single" w:sz="4" w:space="0" w:color="6D0E09"/>
            </w:tcBorders>
          </w:tcPr>
          <w:p w:rsidR="00EF7AE4" w:rsidRPr="00EF7AE4" w:rsidRDefault="00EF7AE4" w:rsidP="00CE036D">
            <w:pPr>
              <w:spacing w:line="280" w:lineRule="exact"/>
              <w:rPr>
                <w:color w:val="6D0E09"/>
                <w:sz w:val="22"/>
              </w:rPr>
            </w:pPr>
            <w:r w:rsidRPr="00EF7AE4">
              <w:rPr>
                <w:color w:val="6D0E09"/>
                <w:sz w:val="22"/>
              </w:rPr>
              <w:t>Motivating factor</w:t>
            </w:r>
          </w:p>
        </w:tc>
        <w:tc>
          <w:tcPr>
            <w:tcW w:w="1257" w:type="pct"/>
            <w:tcBorders>
              <w:top w:val="single" w:sz="4" w:space="0" w:color="6D0E09"/>
              <w:bottom w:val="single" w:sz="4" w:space="0" w:color="6D0E09"/>
            </w:tcBorders>
          </w:tcPr>
          <w:p w:rsidR="00EF7AE4" w:rsidRPr="00EF7AE4" w:rsidRDefault="00EF7AE4" w:rsidP="00CE036D">
            <w:pPr>
              <w:spacing w:line="280" w:lineRule="exact"/>
              <w:rPr>
                <w:color w:val="6D0E09"/>
                <w:sz w:val="22"/>
              </w:rPr>
            </w:pPr>
            <w:r w:rsidRPr="00EF7AE4">
              <w:rPr>
                <w:color w:val="6D0E09"/>
                <w:sz w:val="22"/>
              </w:rPr>
              <w:t>Percentage</w:t>
            </w:r>
          </w:p>
        </w:tc>
      </w:tr>
      <w:tr w:rsidR="00EF7AE4" w:rsidRPr="00EF7AE4" w:rsidTr="0049506A">
        <w:trPr>
          <w:cnfStyle w:val="000000100000" w:firstRow="0" w:lastRow="0" w:firstColumn="0" w:lastColumn="0" w:oddVBand="0" w:evenVBand="0" w:oddHBand="1" w:evenHBand="0" w:firstRowFirstColumn="0" w:firstRowLastColumn="0" w:lastRowFirstColumn="0" w:lastRowLastColumn="0"/>
          <w:trHeight w:val="269"/>
        </w:trPr>
        <w:tc>
          <w:tcPr>
            <w:tcW w:w="3743" w:type="pct"/>
            <w:tcBorders>
              <w:top w:val="single" w:sz="4" w:space="0" w:color="6D0E09"/>
            </w:tcBorders>
            <w:shd w:val="clear" w:color="auto" w:fill="FFE6D3"/>
          </w:tcPr>
          <w:p w:rsidR="00EF7AE4" w:rsidRPr="00EF7AE4" w:rsidRDefault="00EF7AE4" w:rsidP="00CE036D">
            <w:pPr>
              <w:spacing w:line="280" w:lineRule="exact"/>
              <w:rPr>
                <w:b/>
                <w:sz w:val="22"/>
              </w:rPr>
            </w:pPr>
            <w:r w:rsidRPr="00EF7AE4">
              <w:rPr>
                <w:sz w:val="22"/>
              </w:rPr>
              <w:t>Belief that giving can make a difference</w:t>
            </w:r>
          </w:p>
        </w:tc>
        <w:tc>
          <w:tcPr>
            <w:tcW w:w="1257" w:type="pct"/>
            <w:tcBorders>
              <w:top w:val="single" w:sz="4" w:space="0" w:color="6D0E09"/>
            </w:tcBorders>
            <w:shd w:val="clear" w:color="auto" w:fill="FFE6D3"/>
          </w:tcPr>
          <w:p w:rsidR="00EF7AE4" w:rsidRPr="00EF7AE4" w:rsidRDefault="00EF7AE4" w:rsidP="00CE036D">
            <w:pPr>
              <w:spacing w:line="280" w:lineRule="exact"/>
              <w:jc w:val="center"/>
              <w:rPr>
                <w:sz w:val="22"/>
              </w:rPr>
            </w:pPr>
            <w:r w:rsidRPr="00EF7AE4">
              <w:rPr>
                <w:sz w:val="22"/>
              </w:rPr>
              <w:t>92.9%</w:t>
            </w:r>
          </w:p>
        </w:tc>
      </w:tr>
      <w:tr w:rsidR="00EF7AE4" w:rsidRPr="00EF7AE4" w:rsidTr="00C07070">
        <w:trPr>
          <w:cnfStyle w:val="000000010000" w:firstRow="0" w:lastRow="0" w:firstColumn="0" w:lastColumn="0" w:oddVBand="0" w:evenVBand="0" w:oddHBand="0" w:evenHBand="1" w:firstRowFirstColumn="0" w:firstRowLastColumn="0" w:lastRowFirstColumn="0" w:lastRowLastColumn="0"/>
          <w:trHeight w:val="269"/>
        </w:trPr>
        <w:tc>
          <w:tcPr>
            <w:tcW w:w="3743" w:type="pct"/>
          </w:tcPr>
          <w:p w:rsidR="00EF7AE4" w:rsidRPr="00EF7AE4" w:rsidRDefault="00EF7AE4" w:rsidP="00CE036D">
            <w:pPr>
              <w:spacing w:line="280" w:lineRule="exact"/>
              <w:rPr>
                <w:b/>
                <w:sz w:val="22"/>
              </w:rPr>
            </w:pPr>
            <w:r w:rsidRPr="00EF7AE4">
              <w:rPr>
                <w:sz w:val="22"/>
              </w:rPr>
              <w:t>Desire to give back to the community</w:t>
            </w:r>
          </w:p>
        </w:tc>
        <w:tc>
          <w:tcPr>
            <w:tcW w:w="1257" w:type="pct"/>
          </w:tcPr>
          <w:p w:rsidR="00EF7AE4" w:rsidRPr="00EF7AE4" w:rsidRDefault="00EF7AE4" w:rsidP="00CE036D">
            <w:pPr>
              <w:spacing w:line="280" w:lineRule="exact"/>
              <w:jc w:val="center"/>
              <w:rPr>
                <w:sz w:val="22"/>
              </w:rPr>
            </w:pPr>
            <w:r w:rsidRPr="00EF7AE4">
              <w:rPr>
                <w:sz w:val="22"/>
              </w:rPr>
              <w:t>77.7%</w:t>
            </w:r>
          </w:p>
        </w:tc>
      </w:tr>
      <w:tr w:rsidR="00EF7AE4" w:rsidRPr="00EF7AE4" w:rsidTr="00C07070">
        <w:trPr>
          <w:cnfStyle w:val="000000100000" w:firstRow="0" w:lastRow="0" w:firstColumn="0" w:lastColumn="0" w:oddVBand="0" w:evenVBand="0" w:oddHBand="1" w:evenHBand="0" w:firstRowFirstColumn="0" w:firstRowLastColumn="0" w:lastRowFirstColumn="0" w:lastRowLastColumn="0"/>
          <w:trHeight w:val="269"/>
        </w:trPr>
        <w:tc>
          <w:tcPr>
            <w:tcW w:w="3743" w:type="pct"/>
          </w:tcPr>
          <w:p w:rsidR="00EF7AE4" w:rsidRPr="00EF7AE4" w:rsidRDefault="00EF7AE4" w:rsidP="00CE036D">
            <w:pPr>
              <w:spacing w:line="280" w:lineRule="exact"/>
              <w:rPr>
                <w:b/>
                <w:sz w:val="22"/>
              </w:rPr>
            </w:pPr>
            <w:r w:rsidRPr="00EF7AE4">
              <w:rPr>
                <w:sz w:val="22"/>
              </w:rPr>
              <w:t>Sense of personal satisfaction from giving</w:t>
            </w:r>
          </w:p>
        </w:tc>
        <w:tc>
          <w:tcPr>
            <w:tcW w:w="1257" w:type="pct"/>
          </w:tcPr>
          <w:p w:rsidR="00EF7AE4" w:rsidRPr="00EF7AE4" w:rsidRDefault="00EF7AE4" w:rsidP="00CE036D">
            <w:pPr>
              <w:spacing w:line="280" w:lineRule="exact"/>
              <w:jc w:val="center"/>
              <w:rPr>
                <w:sz w:val="22"/>
              </w:rPr>
            </w:pPr>
            <w:r w:rsidRPr="00EF7AE4">
              <w:rPr>
                <w:sz w:val="22"/>
              </w:rPr>
              <w:t>77.7%</w:t>
            </w:r>
          </w:p>
        </w:tc>
      </w:tr>
      <w:tr w:rsidR="00EF7AE4" w:rsidRPr="00EF7AE4" w:rsidTr="00C07070">
        <w:trPr>
          <w:cnfStyle w:val="000000010000" w:firstRow="0" w:lastRow="0" w:firstColumn="0" w:lastColumn="0" w:oddVBand="0" w:evenVBand="0" w:oddHBand="0" w:evenHBand="1" w:firstRowFirstColumn="0" w:firstRowLastColumn="0" w:lastRowFirstColumn="0" w:lastRowLastColumn="0"/>
          <w:trHeight w:val="269"/>
        </w:trPr>
        <w:tc>
          <w:tcPr>
            <w:tcW w:w="3743" w:type="pct"/>
          </w:tcPr>
          <w:p w:rsidR="00EF7AE4" w:rsidRPr="00EF7AE4" w:rsidRDefault="00EF7AE4" w:rsidP="00CE036D">
            <w:pPr>
              <w:spacing w:line="280" w:lineRule="exact"/>
              <w:rPr>
                <w:b/>
                <w:sz w:val="22"/>
              </w:rPr>
            </w:pPr>
            <w:r w:rsidRPr="00EF7AE4">
              <w:rPr>
                <w:sz w:val="22"/>
              </w:rPr>
              <w:t>Philosophical beliefs</w:t>
            </w:r>
          </w:p>
        </w:tc>
        <w:tc>
          <w:tcPr>
            <w:tcW w:w="1257" w:type="pct"/>
          </w:tcPr>
          <w:p w:rsidR="00EF7AE4" w:rsidRPr="00EF7AE4" w:rsidRDefault="00EF7AE4" w:rsidP="00CE036D">
            <w:pPr>
              <w:spacing w:line="280" w:lineRule="exact"/>
              <w:jc w:val="center"/>
              <w:rPr>
                <w:sz w:val="22"/>
              </w:rPr>
            </w:pPr>
            <w:r w:rsidRPr="00EF7AE4">
              <w:rPr>
                <w:sz w:val="22"/>
              </w:rPr>
              <w:t>74.1%</w:t>
            </w:r>
          </w:p>
        </w:tc>
      </w:tr>
      <w:tr w:rsidR="00EF7AE4" w:rsidRPr="00EF7AE4" w:rsidTr="00C07070">
        <w:trPr>
          <w:cnfStyle w:val="000000100000" w:firstRow="0" w:lastRow="0" w:firstColumn="0" w:lastColumn="0" w:oddVBand="0" w:evenVBand="0" w:oddHBand="1" w:evenHBand="0" w:firstRowFirstColumn="0" w:firstRowLastColumn="0" w:lastRowFirstColumn="0" w:lastRowLastColumn="0"/>
          <w:trHeight w:val="269"/>
        </w:trPr>
        <w:tc>
          <w:tcPr>
            <w:tcW w:w="3743" w:type="pct"/>
          </w:tcPr>
          <w:p w:rsidR="00EF7AE4" w:rsidRPr="00EF7AE4" w:rsidRDefault="00EF7AE4" w:rsidP="00CE036D">
            <w:pPr>
              <w:spacing w:line="280" w:lineRule="exact"/>
              <w:rPr>
                <w:b/>
                <w:sz w:val="22"/>
              </w:rPr>
            </w:pPr>
            <w:r w:rsidRPr="00EF7AE4">
              <w:rPr>
                <w:sz w:val="22"/>
              </w:rPr>
              <w:t>Desire to set an example</w:t>
            </w:r>
          </w:p>
        </w:tc>
        <w:tc>
          <w:tcPr>
            <w:tcW w:w="1257" w:type="pct"/>
          </w:tcPr>
          <w:p w:rsidR="00EF7AE4" w:rsidRPr="00EF7AE4" w:rsidRDefault="00EF7AE4" w:rsidP="00CE036D">
            <w:pPr>
              <w:spacing w:line="280" w:lineRule="exact"/>
              <w:jc w:val="center"/>
              <w:rPr>
                <w:sz w:val="22"/>
              </w:rPr>
            </w:pPr>
            <w:r w:rsidRPr="00EF7AE4">
              <w:rPr>
                <w:sz w:val="22"/>
              </w:rPr>
              <w:t>74.1%</w:t>
            </w:r>
          </w:p>
        </w:tc>
      </w:tr>
      <w:tr w:rsidR="00EF7AE4" w:rsidRPr="00EF7AE4" w:rsidTr="00C07070">
        <w:trPr>
          <w:cnfStyle w:val="000000010000" w:firstRow="0" w:lastRow="0" w:firstColumn="0" w:lastColumn="0" w:oddVBand="0" w:evenVBand="0" w:oddHBand="0" w:evenHBand="1" w:firstRowFirstColumn="0" w:firstRowLastColumn="0" w:lastRowFirstColumn="0" w:lastRowLastColumn="0"/>
          <w:trHeight w:val="269"/>
        </w:trPr>
        <w:tc>
          <w:tcPr>
            <w:tcW w:w="3743" w:type="pct"/>
          </w:tcPr>
          <w:p w:rsidR="00EF7AE4" w:rsidRPr="00EF7AE4" w:rsidRDefault="00EF7AE4" w:rsidP="00CE036D">
            <w:pPr>
              <w:spacing w:line="280" w:lineRule="exact"/>
              <w:rPr>
                <w:sz w:val="22"/>
              </w:rPr>
            </w:pPr>
            <w:r w:rsidRPr="00EF7AE4">
              <w:rPr>
                <w:sz w:val="22"/>
              </w:rPr>
              <w:t>Personal involvement with an organisation (e.g. board membership)</w:t>
            </w:r>
          </w:p>
        </w:tc>
        <w:tc>
          <w:tcPr>
            <w:tcW w:w="1257" w:type="pct"/>
          </w:tcPr>
          <w:p w:rsidR="00EF7AE4" w:rsidRPr="00EF7AE4" w:rsidRDefault="00EF7AE4" w:rsidP="00CE036D">
            <w:pPr>
              <w:spacing w:line="280" w:lineRule="exact"/>
              <w:jc w:val="center"/>
              <w:rPr>
                <w:sz w:val="22"/>
              </w:rPr>
            </w:pPr>
            <w:r w:rsidRPr="00EF7AE4">
              <w:rPr>
                <w:sz w:val="22"/>
              </w:rPr>
              <w:t>55.6%</w:t>
            </w:r>
          </w:p>
        </w:tc>
      </w:tr>
      <w:tr w:rsidR="00EF7AE4" w:rsidRPr="00EF7AE4" w:rsidTr="00C07070">
        <w:trPr>
          <w:cnfStyle w:val="000000100000" w:firstRow="0" w:lastRow="0" w:firstColumn="0" w:lastColumn="0" w:oddVBand="0" w:evenVBand="0" w:oddHBand="1" w:evenHBand="0" w:firstRowFirstColumn="0" w:firstRowLastColumn="0" w:lastRowFirstColumn="0" w:lastRowLastColumn="0"/>
          <w:trHeight w:val="269"/>
        </w:trPr>
        <w:tc>
          <w:tcPr>
            <w:tcW w:w="3743" w:type="pct"/>
          </w:tcPr>
          <w:p w:rsidR="00EF7AE4" w:rsidRPr="00EF7AE4" w:rsidRDefault="00EF7AE4" w:rsidP="00CE036D">
            <w:pPr>
              <w:spacing w:line="280" w:lineRule="exact"/>
              <w:rPr>
                <w:sz w:val="22"/>
              </w:rPr>
            </w:pPr>
            <w:r w:rsidRPr="00EF7AE4">
              <w:rPr>
                <w:sz w:val="22"/>
              </w:rPr>
              <w:t>Desire to continue supporting the same cause or organisation</w:t>
            </w:r>
          </w:p>
        </w:tc>
        <w:tc>
          <w:tcPr>
            <w:tcW w:w="1257" w:type="pct"/>
          </w:tcPr>
          <w:p w:rsidR="00EF7AE4" w:rsidRPr="00EF7AE4" w:rsidRDefault="00EF7AE4" w:rsidP="00CE036D">
            <w:pPr>
              <w:spacing w:line="280" w:lineRule="exact"/>
              <w:jc w:val="center"/>
              <w:rPr>
                <w:sz w:val="22"/>
              </w:rPr>
            </w:pPr>
            <w:r w:rsidRPr="00EF7AE4">
              <w:rPr>
                <w:sz w:val="22"/>
              </w:rPr>
              <w:t>51.9%</w:t>
            </w:r>
          </w:p>
        </w:tc>
      </w:tr>
    </w:tbl>
    <w:p w:rsidR="00EF7AE4" w:rsidRPr="00EF7AE4" w:rsidRDefault="00EF7AE4" w:rsidP="00CE036D">
      <w:pPr>
        <w:spacing w:after="0" w:line="280" w:lineRule="exact"/>
      </w:pPr>
      <w:r w:rsidRPr="00EF7AE4">
        <w:t>Many philanthropists also found giving ‘personally fulfilling’ or were motivated to give ‘to encourage giving by others’.</w:t>
      </w:r>
    </w:p>
    <w:p w:rsidR="00EF7AE4" w:rsidRPr="00CE036D" w:rsidRDefault="00EF7AE4" w:rsidP="00CE036D">
      <w:pPr>
        <w:spacing w:after="0" w:line="240" w:lineRule="auto"/>
        <w:rPr>
          <w:sz w:val="8"/>
          <w:szCs w:val="8"/>
        </w:rPr>
      </w:pPr>
    </w:p>
    <w:p w:rsidR="00EF7AE4" w:rsidRPr="00EF7AE4" w:rsidRDefault="00EF7AE4" w:rsidP="00CE036D">
      <w:pPr>
        <w:spacing w:after="0" w:line="280" w:lineRule="exact"/>
      </w:pPr>
      <w:r w:rsidRPr="00EF7AE4">
        <w:t>Family and values are important. Consideration of whether family needs are sufficiently provided fo</w:t>
      </w:r>
      <w:bookmarkEnd w:id="0"/>
      <w:r w:rsidRPr="00EF7AE4">
        <w:t>r play a role. Many philanthropists use a structured giving vehicle (fund or trust) to:</w:t>
      </w:r>
    </w:p>
    <w:p w:rsidR="00EF7AE4" w:rsidRPr="00EF7AE4" w:rsidRDefault="00EF7AE4" w:rsidP="00CE036D">
      <w:pPr>
        <w:numPr>
          <w:ilvl w:val="0"/>
          <w:numId w:val="9"/>
        </w:numPr>
        <w:spacing w:after="0" w:line="280" w:lineRule="exact"/>
        <w:contextualSpacing/>
      </w:pPr>
      <w:r w:rsidRPr="00EF7AE4">
        <w:t>pass on family values and culture</w:t>
      </w:r>
    </w:p>
    <w:p w:rsidR="00EF7AE4" w:rsidRPr="00EF7AE4" w:rsidRDefault="00EF7AE4" w:rsidP="00CE036D">
      <w:pPr>
        <w:numPr>
          <w:ilvl w:val="0"/>
          <w:numId w:val="9"/>
        </w:numPr>
        <w:spacing w:after="0" w:line="280" w:lineRule="exact"/>
        <w:contextualSpacing/>
      </w:pPr>
      <w:r w:rsidRPr="00EF7AE4">
        <w:t>role model philanthropic behaviour, and</w:t>
      </w:r>
    </w:p>
    <w:p w:rsidR="00EF7AE4" w:rsidRPr="00EF7AE4" w:rsidRDefault="00EF7AE4" w:rsidP="00CE036D">
      <w:pPr>
        <w:numPr>
          <w:ilvl w:val="0"/>
          <w:numId w:val="9"/>
        </w:numPr>
        <w:spacing w:after="0" w:line="280" w:lineRule="exact"/>
        <w:contextualSpacing/>
      </w:pPr>
      <w:proofErr w:type="gramStart"/>
      <w:r w:rsidRPr="00EF7AE4">
        <w:t>involve</w:t>
      </w:r>
      <w:proofErr w:type="gramEnd"/>
      <w:r w:rsidRPr="00EF7AE4">
        <w:t xml:space="preserve"> children directly in giving.</w:t>
      </w:r>
    </w:p>
    <w:p w:rsidR="00EF7AE4" w:rsidRPr="00A30678" w:rsidRDefault="00EF7AE4" w:rsidP="00CE036D">
      <w:pPr>
        <w:keepNext/>
        <w:keepLines/>
        <w:spacing w:after="0" w:line="280" w:lineRule="exact"/>
        <w:outlineLvl w:val="0"/>
        <w:rPr>
          <w:rFonts w:ascii="Century Gothic" w:eastAsiaTheme="majorEastAsia" w:hAnsi="Century Gothic" w:cstheme="majorBidi"/>
          <w:bCs/>
          <w:color w:val="6D0E09"/>
          <w:sz w:val="16"/>
          <w:szCs w:val="16"/>
        </w:rPr>
      </w:pPr>
    </w:p>
    <w:p w:rsidR="00EF7AE4" w:rsidRPr="00EF7AE4" w:rsidRDefault="00EF7AE4" w:rsidP="00CE036D">
      <w:pPr>
        <w:keepNext/>
        <w:keepLines/>
        <w:spacing w:after="0" w:line="280" w:lineRule="exact"/>
        <w:outlineLvl w:val="0"/>
        <w:rPr>
          <w:rFonts w:ascii="Century Gothic" w:eastAsiaTheme="majorEastAsia" w:hAnsi="Century Gothic" w:cstheme="majorBidi"/>
          <w:bCs/>
          <w:color w:val="6D0E09"/>
          <w:sz w:val="28"/>
          <w:szCs w:val="28"/>
        </w:rPr>
      </w:pPr>
      <w:r w:rsidRPr="00EF7AE4">
        <w:rPr>
          <w:rFonts w:ascii="Century Gothic" w:eastAsiaTheme="majorEastAsia" w:hAnsi="Century Gothic" w:cstheme="majorBidi"/>
          <w:bCs/>
          <w:color w:val="6D0E09"/>
          <w:sz w:val="28"/>
          <w:szCs w:val="28"/>
        </w:rPr>
        <w:t>What influences giving decisions?</w:t>
      </w:r>
    </w:p>
    <w:p w:rsidR="00EF7AE4" w:rsidRPr="00EF7AE4" w:rsidRDefault="00EF7AE4" w:rsidP="00CE036D">
      <w:pPr>
        <w:spacing w:after="0" w:line="280" w:lineRule="exact"/>
      </w:pPr>
      <w:r w:rsidRPr="00EF7AE4">
        <w:t xml:space="preserve">The factors influencing giving decisions are both personal and practical. Philanthropists tend to apply common criteria to giving decisions such as: </w:t>
      </w:r>
    </w:p>
    <w:p w:rsidR="00EF7AE4" w:rsidRPr="00EF7AE4" w:rsidRDefault="00EF7AE4" w:rsidP="00CE036D">
      <w:pPr>
        <w:numPr>
          <w:ilvl w:val="0"/>
          <w:numId w:val="9"/>
        </w:numPr>
        <w:spacing w:after="0" w:line="280" w:lineRule="exact"/>
        <w:contextualSpacing/>
      </w:pPr>
      <w:proofErr w:type="gramStart"/>
      <w:r w:rsidRPr="00EF7AE4">
        <w:t>where</w:t>
      </w:r>
      <w:proofErr w:type="gramEnd"/>
      <w:r w:rsidRPr="00EF7AE4">
        <w:t xml:space="preserve"> can the greatest impact be made?</w:t>
      </w:r>
    </w:p>
    <w:p w:rsidR="00EF7AE4" w:rsidRPr="00EF7AE4" w:rsidRDefault="00EF7AE4" w:rsidP="00CE036D">
      <w:pPr>
        <w:numPr>
          <w:ilvl w:val="0"/>
          <w:numId w:val="9"/>
        </w:numPr>
        <w:spacing w:after="0" w:line="280" w:lineRule="exact"/>
        <w:contextualSpacing/>
      </w:pPr>
      <w:proofErr w:type="gramStart"/>
      <w:r w:rsidRPr="00EF7AE4">
        <w:t>is</w:t>
      </w:r>
      <w:proofErr w:type="gramEnd"/>
      <w:r w:rsidRPr="00EF7AE4">
        <w:t xml:space="preserve"> the focus area already well covered? and</w:t>
      </w:r>
    </w:p>
    <w:p w:rsidR="00EF7AE4" w:rsidRDefault="00EF7AE4" w:rsidP="00EF7AE4">
      <w:pPr>
        <w:numPr>
          <w:ilvl w:val="0"/>
          <w:numId w:val="9"/>
        </w:numPr>
        <w:spacing w:after="0" w:line="320" w:lineRule="exact"/>
        <w:contextualSpacing/>
      </w:pPr>
      <w:proofErr w:type="gramStart"/>
      <w:r w:rsidRPr="00EF7AE4">
        <w:t>will</w:t>
      </w:r>
      <w:proofErr w:type="gramEnd"/>
      <w:r w:rsidRPr="00EF7AE4">
        <w:t xml:space="preserve"> the donation contribute to sustainable outcomes?</w:t>
      </w:r>
    </w:p>
    <w:p w:rsidR="00CE036D" w:rsidRPr="00CE036D" w:rsidRDefault="00CE036D" w:rsidP="00CE036D">
      <w:pPr>
        <w:spacing w:after="0"/>
        <w:jc w:val="right"/>
        <w:rPr>
          <w:rFonts w:ascii="Century Gothic" w:hAnsi="Century Gothic"/>
          <w:color w:val="595959" w:themeColor="text1" w:themeTint="A6"/>
          <w:sz w:val="14"/>
          <w:szCs w:val="14"/>
        </w:rPr>
      </w:pPr>
    </w:p>
    <w:p w:rsidR="00CE036D" w:rsidRPr="00CE036D" w:rsidRDefault="00CE036D" w:rsidP="00CE036D">
      <w:pPr>
        <w:spacing w:after="0"/>
        <w:jc w:val="right"/>
        <w:rPr>
          <w:rFonts w:ascii="Century Gothic" w:hAnsi="Century Gothic"/>
          <w:color w:val="595959" w:themeColor="text1" w:themeTint="A6"/>
          <w:sz w:val="8"/>
          <w:szCs w:val="8"/>
        </w:rPr>
      </w:pPr>
    </w:p>
    <w:p w:rsidR="00A30678" w:rsidRPr="00B2696C" w:rsidRDefault="00CE036D" w:rsidP="00B2696C">
      <w:pPr>
        <w:spacing w:after="0" w:line="240" w:lineRule="auto"/>
        <w:jc w:val="right"/>
        <w:rPr>
          <w:rFonts w:ascii="Century Gothic" w:hAnsi="Century Gothic"/>
          <w:color w:val="595959" w:themeColor="text1" w:themeTint="A6"/>
          <w:sz w:val="34"/>
          <w:szCs w:val="34"/>
        </w:rPr>
      </w:pPr>
      <w:r w:rsidRPr="00B2696C">
        <w:rPr>
          <w:rFonts w:ascii="Century Gothic" w:hAnsi="Century Gothic"/>
          <w:color w:val="595959" w:themeColor="text1" w:themeTint="A6"/>
          <w:sz w:val="34"/>
          <w:szCs w:val="34"/>
        </w:rPr>
        <w:t>Philanthropy</w:t>
      </w:r>
    </w:p>
    <w:p w:rsidR="00CE036D" w:rsidRPr="00CE036D" w:rsidRDefault="00CE036D" w:rsidP="00B2696C">
      <w:pPr>
        <w:spacing w:after="0" w:line="240" w:lineRule="auto"/>
        <w:jc w:val="right"/>
        <w:rPr>
          <w:rFonts w:ascii="Century Gothic" w:hAnsi="Century Gothic"/>
          <w:color w:val="595959" w:themeColor="text1" w:themeTint="A6"/>
          <w:sz w:val="26"/>
          <w:szCs w:val="26"/>
        </w:rPr>
      </w:pPr>
      <w:r w:rsidRPr="00CE036D">
        <w:rPr>
          <w:rFonts w:ascii="Century Gothic" w:hAnsi="Century Gothic"/>
          <w:color w:val="595959" w:themeColor="text1" w:themeTint="A6"/>
          <w:sz w:val="26"/>
          <w:szCs w:val="26"/>
        </w:rPr>
        <w:t>Overview</w:t>
      </w:r>
    </w:p>
    <w:p w:rsidR="00CE036D" w:rsidRDefault="00B2696C" w:rsidP="00896DF8">
      <w:pPr>
        <w:spacing w:after="0"/>
        <w:rPr>
          <w:rFonts w:ascii="Century Gothic" w:hAnsi="Century Gothic"/>
          <w:color w:val="595959" w:themeColor="text1" w:themeTint="A6"/>
          <w:sz w:val="20"/>
          <w:szCs w:val="20"/>
        </w:rPr>
      </w:pPr>
      <w:r>
        <w:rPr>
          <w:noProof/>
          <w:lang w:eastAsia="en-AU"/>
        </w:rPr>
        <mc:AlternateContent>
          <mc:Choice Requires="wps">
            <w:drawing>
              <wp:anchor distT="0" distB="0" distL="114300" distR="114300" simplePos="0" relativeHeight="251672576" behindDoc="0" locked="0" layoutInCell="1" allowOverlap="1">
                <wp:simplePos x="0" y="0"/>
                <wp:positionH relativeFrom="column">
                  <wp:posOffset>-123825</wp:posOffset>
                </wp:positionH>
                <wp:positionV relativeFrom="paragraph">
                  <wp:posOffset>67944</wp:posOffset>
                </wp:positionV>
                <wp:extent cx="3359150" cy="7267575"/>
                <wp:effectExtent l="0" t="0" r="12700" b="28575"/>
                <wp:wrapNone/>
                <wp:docPr id="14" name="Rectangle 14" descr="Decorative" title="Column border"/>
                <wp:cNvGraphicFramePr/>
                <a:graphic xmlns:a="http://schemas.openxmlformats.org/drawingml/2006/main">
                  <a:graphicData uri="http://schemas.microsoft.com/office/word/2010/wordprocessingShape">
                    <wps:wsp>
                      <wps:cNvSpPr/>
                      <wps:spPr>
                        <a:xfrm>
                          <a:off x="0" y="0"/>
                          <a:ext cx="3359150" cy="7267575"/>
                        </a:xfrm>
                        <a:prstGeom prst="rect">
                          <a:avLst/>
                        </a:prstGeom>
                        <a:noFill/>
                        <a:ln w="12700">
                          <a:solidFill>
                            <a:schemeClr val="tx1">
                              <a:lumMod val="75000"/>
                              <a:lumOff val="2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EA47F23" id="Rectangle 14" o:spid="_x0000_s1026" alt="Title: Column border - Description: Decorative" style="position:absolute;margin-left:-9.75pt;margin-top:5.35pt;width:264.5pt;height:57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" filled="f" strokecolor="#404040 [2429]" strokeweight="1pt">
                <v:stroke dashstyle="dash"/>
              </v:rect>
            </w:pict>
          </mc:Fallback>
        </mc:AlternateContent>
      </w:r>
    </w:p>
    <w:p w:rsidR="00895206" w:rsidRDefault="00CE036D" w:rsidP="00896DF8">
      <w:pPr>
        <w:spacing w:after="0"/>
        <w:rPr>
          <w:rFonts w:ascii="Century Gothic" w:hAnsi="Century Gothic"/>
          <w:color w:val="595959" w:themeColor="text1" w:themeTint="A6"/>
          <w:sz w:val="20"/>
          <w:szCs w:val="20"/>
        </w:rPr>
      </w:pPr>
      <w:r>
        <w:rPr>
          <w:rFonts w:ascii="Century Gothic" w:hAnsi="Century Gothic"/>
          <w:color w:val="595959" w:themeColor="text1" w:themeTint="A6"/>
          <w:sz w:val="20"/>
          <w:szCs w:val="20"/>
        </w:rPr>
        <w:t>T</w:t>
      </w:r>
      <w:r w:rsidR="00895206" w:rsidRPr="00896DF8">
        <w:rPr>
          <w:rFonts w:ascii="Century Gothic" w:hAnsi="Century Gothic"/>
          <w:color w:val="595959" w:themeColor="text1" w:themeTint="A6"/>
          <w:sz w:val="20"/>
          <w:szCs w:val="20"/>
        </w:rPr>
        <w:t>able 2: Factors influencing giving decisions</w:t>
      </w:r>
    </w:p>
    <w:p w:rsidR="00896DF8" w:rsidRPr="000549A4" w:rsidRDefault="00896DF8" w:rsidP="00896DF8">
      <w:pPr>
        <w:spacing w:after="0"/>
        <w:rPr>
          <w:rFonts w:ascii="Century Gothic" w:hAnsi="Century Gothic"/>
          <w:color w:val="595959" w:themeColor="text1" w:themeTint="A6"/>
          <w:sz w:val="10"/>
          <w:szCs w:val="10"/>
        </w:rPr>
      </w:pPr>
    </w:p>
    <w:tbl>
      <w:tblPr>
        <w:tblStyle w:val="GivingReportTable"/>
        <w:tblW w:w="4913" w:type="pct"/>
        <w:tblBorders>
          <w:top w:val="single" w:sz="4" w:space="0" w:color="6D0E09"/>
          <w:bottom w:val="single" w:sz="4" w:space="0" w:color="6D0E09"/>
        </w:tblBorders>
        <w:tblLook w:val="04A0" w:firstRow="1" w:lastRow="0" w:firstColumn="1" w:lastColumn="0" w:noHBand="0" w:noVBand="1"/>
        <w:tblCaption w:val="Factors influencing where to give"/>
        <w:tblDescription w:val="96.2% of respondents to the philanthropists survey said that alignment of the cause with their passions said it influenced where they gave. 92.3% agreed that sound governance influenced their decision. 92% said perceived competence of the charity was important. 74.1% said the gift providing for the disadvantaged influenced them. 65.4% said 'bang for buck' was an influence."/>
      </w:tblPr>
      <w:tblGrid>
        <w:gridCol w:w="3870"/>
        <w:gridCol w:w="1300"/>
      </w:tblGrid>
      <w:tr w:rsidR="00895206" w:rsidTr="00C07070">
        <w:trPr>
          <w:cnfStyle w:val="100000000000" w:firstRow="1" w:lastRow="0" w:firstColumn="0" w:lastColumn="0" w:oddVBand="0" w:evenVBand="0" w:oddHBand="0" w:evenHBand="0" w:firstRowFirstColumn="0" w:firstRowLastColumn="0" w:lastRowFirstColumn="0" w:lastRowLastColumn="0"/>
          <w:trHeight w:val="170"/>
          <w:tblHeader/>
        </w:trPr>
        <w:tc>
          <w:tcPr>
            <w:tcW w:w="3743" w:type="pct"/>
            <w:tcBorders>
              <w:top w:val="single" w:sz="4" w:space="0" w:color="6D0E09"/>
              <w:bottom w:val="single" w:sz="4" w:space="0" w:color="6D0E09"/>
            </w:tcBorders>
          </w:tcPr>
          <w:p w:rsidR="00895206" w:rsidRPr="00C044B4" w:rsidRDefault="00895206" w:rsidP="00896DF8">
            <w:pPr>
              <w:pStyle w:val="GivingReportFigureTitle"/>
              <w:spacing w:line="320" w:lineRule="exact"/>
              <w:rPr>
                <w:color w:val="6D0E09"/>
                <w:sz w:val="22"/>
              </w:rPr>
            </w:pPr>
            <w:r w:rsidRPr="00C044B4">
              <w:rPr>
                <w:color w:val="6D0E09"/>
                <w:sz w:val="22"/>
              </w:rPr>
              <w:t>Influencing factor</w:t>
            </w:r>
          </w:p>
        </w:tc>
        <w:tc>
          <w:tcPr>
            <w:tcW w:w="1257" w:type="pct"/>
            <w:tcBorders>
              <w:top w:val="single" w:sz="4" w:space="0" w:color="6D0E09"/>
              <w:bottom w:val="single" w:sz="4" w:space="0" w:color="6D0E09"/>
            </w:tcBorders>
          </w:tcPr>
          <w:p w:rsidR="00895206" w:rsidRPr="00C044B4" w:rsidRDefault="00895206" w:rsidP="00896DF8">
            <w:pPr>
              <w:pStyle w:val="GivingReportFigureTitle"/>
              <w:spacing w:line="320" w:lineRule="exact"/>
              <w:rPr>
                <w:color w:val="6D0E09"/>
                <w:sz w:val="22"/>
              </w:rPr>
            </w:pPr>
            <w:r w:rsidRPr="00C044B4">
              <w:rPr>
                <w:color w:val="6D0E09"/>
                <w:sz w:val="22"/>
              </w:rPr>
              <w:t>Percentage</w:t>
            </w:r>
          </w:p>
        </w:tc>
      </w:tr>
      <w:tr w:rsidR="00895206" w:rsidTr="00C07070">
        <w:trPr>
          <w:cnfStyle w:val="000000100000" w:firstRow="0" w:lastRow="0" w:firstColumn="0" w:lastColumn="0" w:oddVBand="0" w:evenVBand="0" w:oddHBand="1" w:evenHBand="0" w:firstRowFirstColumn="0" w:firstRowLastColumn="0" w:lastRowFirstColumn="0" w:lastRowLastColumn="0"/>
          <w:trHeight w:val="170"/>
        </w:trPr>
        <w:tc>
          <w:tcPr>
            <w:tcW w:w="3743" w:type="pct"/>
            <w:tcBorders>
              <w:top w:val="single" w:sz="4" w:space="0" w:color="6D0E09"/>
            </w:tcBorders>
          </w:tcPr>
          <w:p w:rsidR="00895206" w:rsidRPr="006977B6" w:rsidRDefault="00895206" w:rsidP="00896DF8">
            <w:pPr>
              <w:spacing w:line="320" w:lineRule="exact"/>
              <w:rPr>
                <w:b/>
                <w:sz w:val="22"/>
              </w:rPr>
            </w:pPr>
            <w:r w:rsidRPr="006977B6">
              <w:rPr>
                <w:sz w:val="22"/>
              </w:rPr>
              <w:t>Alignment of cause with my passions</w:t>
            </w:r>
          </w:p>
        </w:tc>
        <w:tc>
          <w:tcPr>
            <w:tcW w:w="1257" w:type="pct"/>
            <w:tcBorders>
              <w:top w:val="single" w:sz="4" w:space="0" w:color="6D0E09"/>
            </w:tcBorders>
          </w:tcPr>
          <w:p w:rsidR="00895206" w:rsidRPr="006977B6" w:rsidRDefault="00895206" w:rsidP="00896DF8">
            <w:pPr>
              <w:spacing w:line="320" w:lineRule="exact"/>
              <w:jc w:val="center"/>
              <w:rPr>
                <w:sz w:val="22"/>
              </w:rPr>
            </w:pPr>
            <w:r w:rsidRPr="006977B6">
              <w:rPr>
                <w:sz w:val="22"/>
              </w:rPr>
              <w:t>96.2%</w:t>
            </w:r>
          </w:p>
        </w:tc>
      </w:tr>
      <w:tr w:rsidR="00895206" w:rsidTr="00C07070">
        <w:trPr>
          <w:cnfStyle w:val="000000010000" w:firstRow="0" w:lastRow="0" w:firstColumn="0" w:lastColumn="0" w:oddVBand="0" w:evenVBand="0" w:oddHBand="0" w:evenHBand="1" w:firstRowFirstColumn="0" w:firstRowLastColumn="0" w:lastRowFirstColumn="0" w:lastRowLastColumn="0"/>
          <w:trHeight w:val="170"/>
        </w:trPr>
        <w:tc>
          <w:tcPr>
            <w:tcW w:w="3743" w:type="pct"/>
          </w:tcPr>
          <w:p w:rsidR="00895206" w:rsidRPr="006977B6" w:rsidRDefault="00895206" w:rsidP="00896DF8">
            <w:pPr>
              <w:spacing w:line="320" w:lineRule="exact"/>
              <w:rPr>
                <w:b/>
                <w:sz w:val="22"/>
              </w:rPr>
            </w:pPr>
            <w:r w:rsidRPr="006977B6">
              <w:rPr>
                <w:sz w:val="22"/>
              </w:rPr>
              <w:t>The charity has sound governance</w:t>
            </w:r>
          </w:p>
        </w:tc>
        <w:tc>
          <w:tcPr>
            <w:tcW w:w="1257" w:type="pct"/>
          </w:tcPr>
          <w:p w:rsidR="00895206" w:rsidRPr="006977B6" w:rsidRDefault="00895206" w:rsidP="00896DF8">
            <w:pPr>
              <w:spacing w:line="320" w:lineRule="exact"/>
              <w:jc w:val="center"/>
              <w:rPr>
                <w:sz w:val="22"/>
              </w:rPr>
            </w:pPr>
            <w:r w:rsidRPr="006977B6">
              <w:rPr>
                <w:sz w:val="22"/>
              </w:rPr>
              <w:t>92.3%</w:t>
            </w:r>
          </w:p>
        </w:tc>
      </w:tr>
      <w:tr w:rsidR="00895206" w:rsidTr="00C07070">
        <w:trPr>
          <w:cnfStyle w:val="000000100000" w:firstRow="0" w:lastRow="0" w:firstColumn="0" w:lastColumn="0" w:oddVBand="0" w:evenVBand="0" w:oddHBand="1" w:evenHBand="0" w:firstRowFirstColumn="0" w:firstRowLastColumn="0" w:lastRowFirstColumn="0" w:lastRowLastColumn="0"/>
          <w:trHeight w:val="170"/>
        </w:trPr>
        <w:tc>
          <w:tcPr>
            <w:tcW w:w="3743" w:type="pct"/>
          </w:tcPr>
          <w:p w:rsidR="00895206" w:rsidRPr="006977B6" w:rsidRDefault="00895206" w:rsidP="00896DF8">
            <w:pPr>
              <w:spacing w:line="320" w:lineRule="exact"/>
              <w:rPr>
                <w:b/>
                <w:sz w:val="22"/>
              </w:rPr>
            </w:pPr>
            <w:r w:rsidRPr="006977B6">
              <w:rPr>
                <w:sz w:val="22"/>
              </w:rPr>
              <w:t>Perceived competence of charity</w:t>
            </w:r>
          </w:p>
        </w:tc>
        <w:tc>
          <w:tcPr>
            <w:tcW w:w="1257" w:type="pct"/>
          </w:tcPr>
          <w:p w:rsidR="00895206" w:rsidRPr="006977B6" w:rsidRDefault="00895206" w:rsidP="00896DF8">
            <w:pPr>
              <w:spacing w:line="320" w:lineRule="exact"/>
              <w:jc w:val="center"/>
              <w:rPr>
                <w:sz w:val="22"/>
              </w:rPr>
            </w:pPr>
            <w:r w:rsidRPr="006977B6">
              <w:rPr>
                <w:sz w:val="22"/>
              </w:rPr>
              <w:t>92%</w:t>
            </w:r>
          </w:p>
        </w:tc>
      </w:tr>
      <w:tr w:rsidR="00895206" w:rsidTr="00C07070">
        <w:trPr>
          <w:cnfStyle w:val="000000010000" w:firstRow="0" w:lastRow="0" w:firstColumn="0" w:lastColumn="0" w:oddVBand="0" w:evenVBand="0" w:oddHBand="0" w:evenHBand="1" w:firstRowFirstColumn="0" w:firstRowLastColumn="0" w:lastRowFirstColumn="0" w:lastRowLastColumn="0"/>
          <w:trHeight w:val="170"/>
        </w:trPr>
        <w:tc>
          <w:tcPr>
            <w:tcW w:w="3743" w:type="pct"/>
          </w:tcPr>
          <w:p w:rsidR="00895206" w:rsidRPr="006977B6" w:rsidRDefault="00895206" w:rsidP="00896DF8">
            <w:pPr>
              <w:spacing w:line="320" w:lineRule="exact"/>
              <w:rPr>
                <w:b/>
                <w:sz w:val="22"/>
              </w:rPr>
            </w:pPr>
            <w:r w:rsidRPr="006977B6">
              <w:rPr>
                <w:sz w:val="22"/>
              </w:rPr>
              <w:t>Grant will provide for the disadvantaged</w:t>
            </w:r>
          </w:p>
        </w:tc>
        <w:tc>
          <w:tcPr>
            <w:tcW w:w="1257" w:type="pct"/>
          </w:tcPr>
          <w:p w:rsidR="00895206" w:rsidRPr="006977B6" w:rsidRDefault="00895206" w:rsidP="00896DF8">
            <w:pPr>
              <w:spacing w:line="320" w:lineRule="exact"/>
              <w:jc w:val="center"/>
              <w:rPr>
                <w:sz w:val="22"/>
              </w:rPr>
            </w:pPr>
            <w:r w:rsidRPr="006977B6">
              <w:rPr>
                <w:sz w:val="22"/>
              </w:rPr>
              <w:t>74.1%</w:t>
            </w:r>
          </w:p>
        </w:tc>
      </w:tr>
      <w:tr w:rsidR="00895206" w:rsidTr="00C07070">
        <w:trPr>
          <w:cnfStyle w:val="000000100000" w:firstRow="0" w:lastRow="0" w:firstColumn="0" w:lastColumn="0" w:oddVBand="0" w:evenVBand="0" w:oddHBand="1" w:evenHBand="0" w:firstRowFirstColumn="0" w:firstRowLastColumn="0" w:lastRowFirstColumn="0" w:lastRowLastColumn="0"/>
          <w:trHeight w:val="170"/>
        </w:trPr>
        <w:tc>
          <w:tcPr>
            <w:tcW w:w="3743" w:type="pct"/>
          </w:tcPr>
          <w:p w:rsidR="00895206" w:rsidRPr="006977B6" w:rsidRDefault="00895206" w:rsidP="00896DF8">
            <w:pPr>
              <w:spacing w:line="320" w:lineRule="exact"/>
              <w:rPr>
                <w:sz w:val="22"/>
              </w:rPr>
            </w:pPr>
            <w:r w:rsidRPr="006977B6">
              <w:rPr>
                <w:sz w:val="22"/>
              </w:rPr>
              <w:t>Grant will provide ‘bang for buck’</w:t>
            </w:r>
          </w:p>
        </w:tc>
        <w:tc>
          <w:tcPr>
            <w:tcW w:w="1257" w:type="pct"/>
          </w:tcPr>
          <w:p w:rsidR="00895206" w:rsidRPr="006977B6" w:rsidRDefault="00895206" w:rsidP="00896DF8">
            <w:pPr>
              <w:spacing w:line="320" w:lineRule="exact"/>
              <w:jc w:val="center"/>
              <w:rPr>
                <w:sz w:val="22"/>
              </w:rPr>
            </w:pPr>
            <w:r w:rsidRPr="006977B6">
              <w:rPr>
                <w:sz w:val="22"/>
              </w:rPr>
              <w:t>65.4%</w:t>
            </w:r>
          </w:p>
        </w:tc>
      </w:tr>
    </w:tbl>
    <w:p w:rsidR="00895206" w:rsidRDefault="00895206" w:rsidP="00896DF8">
      <w:pPr>
        <w:spacing w:after="0" w:line="320" w:lineRule="exact"/>
      </w:pPr>
    </w:p>
    <w:p w:rsidR="00895206" w:rsidRPr="00B67CB7" w:rsidRDefault="00895206" w:rsidP="008B1F93">
      <w:pPr>
        <w:spacing w:after="0"/>
        <w:rPr>
          <w:rFonts w:ascii="Century Gothic" w:hAnsi="Century Gothic"/>
          <w:color w:val="595959" w:themeColor="text1" w:themeTint="A6"/>
          <w:sz w:val="20"/>
          <w:szCs w:val="20"/>
        </w:rPr>
      </w:pPr>
      <w:r w:rsidRPr="00B67CB7">
        <w:rPr>
          <w:rFonts w:ascii="Century Gothic" w:hAnsi="Century Gothic"/>
          <w:color w:val="595959" w:themeColor="text1" w:themeTint="A6"/>
          <w:sz w:val="20"/>
          <w:szCs w:val="20"/>
        </w:rPr>
        <w:t xml:space="preserve">Table 3: Top five beneficiaries of trust/foundation giving </w:t>
      </w:r>
    </w:p>
    <w:p w:rsidR="008B1F93" w:rsidRPr="000549A4" w:rsidRDefault="008B1F93" w:rsidP="008B1F93">
      <w:pPr>
        <w:spacing w:after="0"/>
        <w:rPr>
          <w:rFonts w:ascii="Century Gothic" w:hAnsi="Century Gothic"/>
          <w:color w:val="595959" w:themeColor="text1" w:themeTint="A6"/>
          <w:sz w:val="10"/>
          <w:szCs w:val="10"/>
        </w:rPr>
      </w:pPr>
    </w:p>
    <w:tbl>
      <w:tblPr>
        <w:tblStyle w:val="GivingReportTable"/>
        <w:tblW w:w="4898" w:type="pct"/>
        <w:tblBorders>
          <w:top w:val="single" w:sz="4" w:space="0" w:color="6D0E09"/>
          <w:bottom w:val="single" w:sz="4" w:space="0" w:color="6D0E09"/>
        </w:tblBorders>
        <w:tblLook w:val="04A0" w:firstRow="1" w:lastRow="0" w:firstColumn="1" w:lastColumn="0" w:noHBand="0" w:noVBand="1"/>
        <w:tblCaption w:val="Top five beneficiaries of trust/foundation giving"/>
        <w:tblDescription w:val="The top five cause areas benefiting from trust and foundation grants are as follows. Social services 63.7%, education and research 62.7%, health 52.9%, culture and recreation 33.3%, development and housing 25.5%."/>
      </w:tblPr>
      <w:tblGrid>
        <w:gridCol w:w="3859"/>
        <w:gridCol w:w="1296"/>
      </w:tblGrid>
      <w:tr w:rsidR="00895206" w:rsidTr="00C07070">
        <w:trPr>
          <w:cnfStyle w:val="100000000000" w:firstRow="1" w:lastRow="0" w:firstColumn="0" w:lastColumn="0" w:oddVBand="0" w:evenVBand="0" w:oddHBand="0" w:evenHBand="0" w:firstRowFirstColumn="0" w:firstRowLastColumn="0" w:lastRowFirstColumn="0" w:lastRowLastColumn="0"/>
          <w:trHeight w:val="170"/>
          <w:tblHeader/>
        </w:trPr>
        <w:tc>
          <w:tcPr>
            <w:tcW w:w="3743" w:type="pct"/>
            <w:tcBorders>
              <w:top w:val="single" w:sz="4" w:space="0" w:color="6D0E09"/>
              <w:bottom w:val="single" w:sz="4" w:space="0" w:color="6D0E09"/>
            </w:tcBorders>
          </w:tcPr>
          <w:p w:rsidR="00895206" w:rsidRPr="00C044B4" w:rsidRDefault="00895206" w:rsidP="00896DF8">
            <w:pPr>
              <w:pStyle w:val="GivingReportFigureTitle"/>
              <w:spacing w:line="320" w:lineRule="exact"/>
              <w:rPr>
                <w:color w:val="6D0E09"/>
                <w:sz w:val="22"/>
              </w:rPr>
            </w:pPr>
            <w:r w:rsidRPr="00C044B4">
              <w:rPr>
                <w:color w:val="6D0E09"/>
                <w:sz w:val="22"/>
              </w:rPr>
              <w:t>Issue/area</w:t>
            </w:r>
          </w:p>
        </w:tc>
        <w:tc>
          <w:tcPr>
            <w:tcW w:w="1257" w:type="pct"/>
            <w:tcBorders>
              <w:top w:val="single" w:sz="4" w:space="0" w:color="6D0E09"/>
              <w:bottom w:val="single" w:sz="4" w:space="0" w:color="6D0E09"/>
            </w:tcBorders>
          </w:tcPr>
          <w:p w:rsidR="00895206" w:rsidRPr="00C044B4" w:rsidRDefault="00895206" w:rsidP="00896DF8">
            <w:pPr>
              <w:pStyle w:val="GivingReportFigureTitle"/>
              <w:spacing w:line="320" w:lineRule="exact"/>
              <w:rPr>
                <w:color w:val="6D0E09"/>
                <w:sz w:val="22"/>
              </w:rPr>
            </w:pPr>
            <w:r w:rsidRPr="00C044B4">
              <w:rPr>
                <w:color w:val="6D0E09"/>
                <w:sz w:val="22"/>
              </w:rPr>
              <w:t>Percentage</w:t>
            </w:r>
          </w:p>
        </w:tc>
      </w:tr>
      <w:tr w:rsidR="00895206" w:rsidTr="00C07070">
        <w:trPr>
          <w:cnfStyle w:val="000000100000" w:firstRow="0" w:lastRow="0" w:firstColumn="0" w:lastColumn="0" w:oddVBand="0" w:evenVBand="0" w:oddHBand="1" w:evenHBand="0" w:firstRowFirstColumn="0" w:firstRowLastColumn="0" w:lastRowFirstColumn="0" w:lastRowLastColumn="0"/>
          <w:trHeight w:val="170"/>
        </w:trPr>
        <w:tc>
          <w:tcPr>
            <w:tcW w:w="3743" w:type="pct"/>
            <w:tcBorders>
              <w:top w:val="single" w:sz="4" w:space="0" w:color="6D0E09"/>
            </w:tcBorders>
          </w:tcPr>
          <w:p w:rsidR="00895206" w:rsidRPr="006977B6" w:rsidRDefault="00895206" w:rsidP="00896DF8">
            <w:pPr>
              <w:spacing w:line="320" w:lineRule="exact"/>
              <w:rPr>
                <w:sz w:val="22"/>
              </w:rPr>
            </w:pPr>
            <w:r w:rsidRPr="006977B6">
              <w:rPr>
                <w:sz w:val="22"/>
              </w:rPr>
              <w:t>Social services</w:t>
            </w:r>
          </w:p>
        </w:tc>
        <w:tc>
          <w:tcPr>
            <w:tcW w:w="1257" w:type="pct"/>
            <w:tcBorders>
              <w:top w:val="single" w:sz="4" w:space="0" w:color="6D0E09"/>
            </w:tcBorders>
          </w:tcPr>
          <w:p w:rsidR="00895206" w:rsidRPr="006977B6" w:rsidRDefault="00895206" w:rsidP="00896DF8">
            <w:pPr>
              <w:spacing w:line="320" w:lineRule="exact"/>
              <w:jc w:val="center"/>
              <w:rPr>
                <w:sz w:val="22"/>
              </w:rPr>
            </w:pPr>
            <w:r w:rsidRPr="006977B6">
              <w:rPr>
                <w:sz w:val="22"/>
              </w:rPr>
              <w:t>63.7%</w:t>
            </w:r>
          </w:p>
        </w:tc>
      </w:tr>
      <w:tr w:rsidR="00895206" w:rsidTr="00C07070">
        <w:trPr>
          <w:cnfStyle w:val="000000010000" w:firstRow="0" w:lastRow="0" w:firstColumn="0" w:lastColumn="0" w:oddVBand="0" w:evenVBand="0" w:oddHBand="0" w:evenHBand="1" w:firstRowFirstColumn="0" w:firstRowLastColumn="0" w:lastRowFirstColumn="0" w:lastRowLastColumn="0"/>
          <w:trHeight w:val="170"/>
        </w:trPr>
        <w:tc>
          <w:tcPr>
            <w:tcW w:w="3743" w:type="pct"/>
          </w:tcPr>
          <w:p w:rsidR="00895206" w:rsidRPr="006977B6" w:rsidRDefault="00895206" w:rsidP="00896DF8">
            <w:pPr>
              <w:spacing w:line="320" w:lineRule="exact"/>
              <w:rPr>
                <w:sz w:val="22"/>
              </w:rPr>
            </w:pPr>
            <w:r w:rsidRPr="006977B6">
              <w:rPr>
                <w:sz w:val="22"/>
              </w:rPr>
              <w:t>Education and research</w:t>
            </w:r>
          </w:p>
        </w:tc>
        <w:tc>
          <w:tcPr>
            <w:tcW w:w="1257" w:type="pct"/>
          </w:tcPr>
          <w:p w:rsidR="00895206" w:rsidRPr="006977B6" w:rsidRDefault="00895206" w:rsidP="00896DF8">
            <w:pPr>
              <w:spacing w:line="320" w:lineRule="exact"/>
              <w:jc w:val="center"/>
              <w:rPr>
                <w:sz w:val="22"/>
              </w:rPr>
            </w:pPr>
            <w:r w:rsidRPr="006977B6">
              <w:rPr>
                <w:sz w:val="22"/>
              </w:rPr>
              <w:t>62.7%</w:t>
            </w:r>
          </w:p>
        </w:tc>
      </w:tr>
      <w:tr w:rsidR="00895206" w:rsidTr="00C07070">
        <w:trPr>
          <w:cnfStyle w:val="000000100000" w:firstRow="0" w:lastRow="0" w:firstColumn="0" w:lastColumn="0" w:oddVBand="0" w:evenVBand="0" w:oddHBand="1" w:evenHBand="0" w:firstRowFirstColumn="0" w:firstRowLastColumn="0" w:lastRowFirstColumn="0" w:lastRowLastColumn="0"/>
          <w:trHeight w:val="170"/>
        </w:trPr>
        <w:tc>
          <w:tcPr>
            <w:tcW w:w="3743" w:type="pct"/>
          </w:tcPr>
          <w:p w:rsidR="00895206" w:rsidRPr="006977B6" w:rsidRDefault="00895206" w:rsidP="00896DF8">
            <w:pPr>
              <w:spacing w:line="320" w:lineRule="exact"/>
              <w:rPr>
                <w:sz w:val="22"/>
              </w:rPr>
            </w:pPr>
            <w:r w:rsidRPr="006977B6">
              <w:rPr>
                <w:sz w:val="22"/>
              </w:rPr>
              <w:t>Health</w:t>
            </w:r>
          </w:p>
        </w:tc>
        <w:tc>
          <w:tcPr>
            <w:tcW w:w="1257" w:type="pct"/>
          </w:tcPr>
          <w:p w:rsidR="00895206" w:rsidRPr="006977B6" w:rsidRDefault="00895206" w:rsidP="00896DF8">
            <w:pPr>
              <w:spacing w:line="320" w:lineRule="exact"/>
              <w:jc w:val="center"/>
              <w:rPr>
                <w:sz w:val="22"/>
              </w:rPr>
            </w:pPr>
            <w:r w:rsidRPr="006977B6">
              <w:rPr>
                <w:sz w:val="22"/>
              </w:rPr>
              <w:t>52.9%</w:t>
            </w:r>
          </w:p>
        </w:tc>
      </w:tr>
      <w:tr w:rsidR="00895206" w:rsidTr="00C07070">
        <w:trPr>
          <w:cnfStyle w:val="000000010000" w:firstRow="0" w:lastRow="0" w:firstColumn="0" w:lastColumn="0" w:oddVBand="0" w:evenVBand="0" w:oddHBand="0" w:evenHBand="1" w:firstRowFirstColumn="0" w:firstRowLastColumn="0" w:lastRowFirstColumn="0" w:lastRowLastColumn="0"/>
          <w:trHeight w:val="170"/>
        </w:trPr>
        <w:tc>
          <w:tcPr>
            <w:tcW w:w="3743" w:type="pct"/>
          </w:tcPr>
          <w:p w:rsidR="00895206" w:rsidRPr="006977B6" w:rsidRDefault="00895206" w:rsidP="00896DF8">
            <w:pPr>
              <w:spacing w:line="320" w:lineRule="exact"/>
              <w:rPr>
                <w:sz w:val="22"/>
              </w:rPr>
            </w:pPr>
            <w:r w:rsidRPr="006977B6">
              <w:rPr>
                <w:sz w:val="22"/>
              </w:rPr>
              <w:t>Culture and recreation</w:t>
            </w:r>
          </w:p>
        </w:tc>
        <w:tc>
          <w:tcPr>
            <w:tcW w:w="1257" w:type="pct"/>
          </w:tcPr>
          <w:p w:rsidR="00895206" w:rsidRPr="006977B6" w:rsidRDefault="00895206" w:rsidP="00896DF8">
            <w:pPr>
              <w:spacing w:line="320" w:lineRule="exact"/>
              <w:jc w:val="center"/>
              <w:rPr>
                <w:sz w:val="22"/>
              </w:rPr>
            </w:pPr>
            <w:r w:rsidRPr="006977B6">
              <w:rPr>
                <w:sz w:val="22"/>
              </w:rPr>
              <w:t>33.3%</w:t>
            </w:r>
          </w:p>
        </w:tc>
      </w:tr>
      <w:tr w:rsidR="00895206" w:rsidTr="00C07070">
        <w:trPr>
          <w:cnfStyle w:val="000000100000" w:firstRow="0" w:lastRow="0" w:firstColumn="0" w:lastColumn="0" w:oddVBand="0" w:evenVBand="0" w:oddHBand="1" w:evenHBand="0" w:firstRowFirstColumn="0" w:firstRowLastColumn="0" w:lastRowFirstColumn="0" w:lastRowLastColumn="0"/>
          <w:trHeight w:val="170"/>
        </w:trPr>
        <w:tc>
          <w:tcPr>
            <w:tcW w:w="3743" w:type="pct"/>
          </w:tcPr>
          <w:p w:rsidR="00895206" w:rsidRPr="006977B6" w:rsidRDefault="00895206" w:rsidP="00896DF8">
            <w:pPr>
              <w:spacing w:line="320" w:lineRule="exact"/>
              <w:rPr>
                <w:sz w:val="22"/>
              </w:rPr>
            </w:pPr>
            <w:r w:rsidRPr="006977B6">
              <w:rPr>
                <w:sz w:val="22"/>
              </w:rPr>
              <w:t>Development and housing</w:t>
            </w:r>
          </w:p>
        </w:tc>
        <w:tc>
          <w:tcPr>
            <w:tcW w:w="1257" w:type="pct"/>
          </w:tcPr>
          <w:p w:rsidR="00895206" w:rsidRPr="006977B6" w:rsidRDefault="00895206" w:rsidP="00896DF8">
            <w:pPr>
              <w:spacing w:line="320" w:lineRule="exact"/>
              <w:jc w:val="center"/>
              <w:rPr>
                <w:sz w:val="22"/>
              </w:rPr>
            </w:pPr>
            <w:r w:rsidRPr="006977B6">
              <w:rPr>
                <w:sz w:val="22"/>
              </w:rPr>
              <w:t>25.5%</w:t>
            </w:r>
          </w:p>
        </w:tc>
      </w:tr>
    </w:tbl>
    <w:p w:rsidR="00895206" w:rsidRPr="00BA6FFB" w:rsidRDefault="00895206" w:rsidP="00896DF8">
      <w:pPr>
        <w:pStyle w:val="Heading1"/>
        <w:spacing w:after="0" w:line="320" w:lineRule="exact"/>
      </w:pPr>
    </w:p>
    <w:p w:rsidR="00895206" w:rsidRPr="008F31AE" w:rsidRDefault="00895206" w:rsidP="00896DF8">
      <w:pPr>
        <w:pStyle w:val="Heading1"/>
        <w:spacing w:after="0" w:line="320" w:lineRule="exact"/>
        <w:rPr>
          <w:color w:val="6D0E09"/>
        </w:rPr>
      </w:pPr>
      <w:r w:rsidRPr="008F31AE">
        <w:rPr>
          <w:color w:val="6D0E09"/>
        </w:rPr>
        <w:t>Selecting a charity</w:t>
      </w:r>
    </w:p>
    <w:p w:rsidR="00895206" w:rsidRDefault="00895206" w:rsidP="00896DF8">
      <w:pPr>
        <w:spacing w:after="0" w:line="320" w:lineRule="exact"/>
      </w:pPr>
      <w:r>
        <w:t>Philanthropists consider whether charities are expert and experienced, have capability to deliver impact and are already active in their communities. Most philanthropists aim to avoid creating funding dependency for the beneficiary.</w:t>
      </w:r>
      <w:r w:rsidRPr="006F4705">
        <w:t xml:space="preserve"> </w:t>
      </w:r>
    </w:p>
    <w:p w:rsidR="00895206" w:rsidRPr="00F46116" w:rsidRDefault="00895206" w:rsidP="00F46116">
      <w:pPr>
        <w:spacing w:after="0" w:line="240" w:lineRule="auto"/>
        <w:rPr>
          <w:sz w:val="16"/>
          <w:szCs w:val="16"/>
        </w:rPr>
      </w:pPr>
    </w:p>
    <w:p w:rsidR="000549A4" w:rsidRDefault="00895206" w:rsidP="00896DF8">
      <w:pPr>
        <w:spacing w:after="0" w:line="320" w:lineRule="exact"/>
      </w:pPr>
      <w:r w:rsidRPr="00285381">
        <w:t>How</w:t>
      </w:r>
      <w:r>
        <w:t xml:space="preserve"> an organisation operates can also be an important factor for some. Philanthropists from business backgrounds tend to prefer organisations that are entrepreneurial or businesslike in their approach. Evidence of innovative practice can also be important.</w:t>
      </w:r>
    </w:p>
    <w:p w:rsidR="001D3004" w:rsidRDefault="000549A4" w:rsidP="00896DF8">
      <w:pPr>
        <w:spacing w:after="0" w:line="320" w:lineRule="exact"/>
      </w:pPr>
      <w:r>
        <w:br w:type="column"/>
      </w:r>
      <w:r w:rsidR="00954596">
        <w:rPr>
          <w:noProof/>
          <w:lang w:eastAsia="en-AU"/>
        </w:rPr>
        <w:lastRenderedPageBreak/>
        <mc:AlternateContent>
          <mc:Choice Requires="wps">
            <w:drawing>
              <wp:anchor distT="0" distB="0" distL="114300" distR="114300" simplePos="0" relativeHeight="251676672" behindDoc="0" locked="0" layoutInCell="1" allowOverlap="1" wp14:anchorId="1FEAADAB" wp14:editId="09153F42">
                <wp:simplePos x="0" y="0"/>
                <wp:positionH relativeFrom="column">
                  <wp:posOffset>-127000</wp:posOffset>
                </wp:positionH>
                <wp:positionV relativeFrom="paragraph">
                  <wp:posOffset>-3810</wp:posOffset>
                </wp:positionV>
                <wp:extent cx="3361055" cy="7724775"/>
                <wp:effectExtent l="0" t="0" r="10795" b="28575"/>
                <wp:wrapNone/>
                <wp:docPr id="16" name="Rectangle 16" descr="Decorative" title="Column border"/>
                <wp:cNvGraphicFramePr/>
                <a:graphic xmlns:a="http://schemas.openxmlformats.org/drawingml/2006/main">
                  <a:graphicData uri="http://schemas.microsoft.com/office/word/2010/wordprocessingShape">
                    <wps:wsp>
                      <wps:cNvSpPr/>
                      <wps:spPr>
                        <a:xfrm>
                          <a:off x="0" y="0"/>
                          <a:ext cx="3361055" cy="7724775"/>
                        </a:xfrm>
                        <a:prstGeom prst="rect">
                          <a:avLst/>
                        </a:prstGeom>
                        <a:noFill/>
                        <a:ln w="12700" cap="flat" cmpd="sng" algn="ctr">
                          <a:solidFill>
                            <a:sysClr val="windowText" lastClr="000000">
                              <a:lumMod val="75000"/>
                              <a:lumOff val="25000"/>
                            </a:sys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B365E99" id="Rectangle 16" o:spid="_x0000_s1026" alt="Title: Column border - Description: Decorative" style="position:absolute;margin-left:-10pt;margin-top:-.3pt;width:264.65pt;height:608.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" filled="f" strokecolor="#404040" strokeweight="1pt">
                <v:stroke dashstyle="dash"/>
              </v:rect>
            </w:pict>
          </mc:Fallback>
        </mc:AlternateContent>
      </w:r>
      <w:r w:rsidR="00954596">
        <w:rPr>
          <w:noProof/>
          <w:lang w:eastAsia="en-AU"/>
        </w:rPr>
        <mc:AlternateContent>
          <mc:Choice Requires="wps">
            <w:drawing>
              <wp:anchor distT="0" distB="0" distL="114300" distR="114300" simplePos="0" relativeHeight="251678720" behindDoc="0" locked="0" layoutInCell="1" allowOverlap="1" wp14:anchorId="1FEAADAB" wp14:editId="09153F42">
                <wp:simplePos x="0" y="0"/>
                <wp:positionH relativeFrom="column">
                  <wp:posOffset>3378200</wp:posOffset>
                </wp:positionH>
                <wp:positionV relativeFrom="paragraph">
                  <wp:posOffset>-3810</wp:posOffset>
                </wp:positionV>
                <wp:extent cx="3353435" cy="4141470"/>
                <wp:effectExtent l="0" t="0" r="18415" b="11430"/>
                <wp:wrapNone/>
                <wp:docPr id="17" name="Rectangle 17" descr="Decorative" title="Column border"/>
                <wp:cNvGraphicFramePr/>
                <a:graphic xmlns:a="http://schemas.openxmlformats.org/drawingml/2006/main">
                  <a:graphicData uri="http://schemas.microsoft.com/office/word/2010/wordprocessingShape">
                    <wps:wsp>
                      <wps:cNvSpPr/>
                      <wps:spPr>
                        <a:xfrm>
                          <a:off x="0" y="0"/>
                          <a:ext cx="3353435" cy="4141470"/>
                        </a:xfrm>
                        <a:prstGeom prst="rect">
                          <a:avLst/>
                        </a:prstGeom>
                        <a:noFill/>
                        <a:ln w="12700" cap="flat" cmpd="sng" algn="ctr">
                          <a:solidFill>
                            <a:sysClr val="windowText" lastClr="000000">
                              <a:lumMod val="75000"/>
                              <a:lumOff val="25000"/>
                            </a:sys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92F2BAE" id="Rectangle 17" o:spid="_x0000_s1026" alt="Title: Column border - Description: Decorative" style="position:absolute;margin-left:266pt;margin-top:-.3pt;width:264.05pt;height:326.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" filled="f" strokecolor="#404040" strokeweight="1pt">
                <v:stroke dashstyle="dash"/>
              </v:rect>
            </w:pict>
          </mc:Fallback>
        </mc:AlternateContent>
      </w:r>
      <w:r w:rsidR="00895206">
        <w:t>Charitable status (Tax Concessional Charity endorsement by the Australian Taxation Office) and Deductible Gift Recipient status are important, but not critical to many donors.</w:t>
      </w:r>
    </w:p>
    <w:p w:rsidR="000555EC" w:rsidRDefault="000555EC" w:rsidP="00896DF8">
      <w:pPr>
        <w:spacing w:after="0" w:line="320" w:lineRule="exact"/>
      </w:pPr>
    </w:p>
    <w:p w:rsidR="0030694A" w:rsidRPr="00650AB8" w:rsidRDefault="0030694A" w:rsidP="0030694A">
      <w:pPr>
        <w:pStyle w:val="GivingReportTableTitle"/>
      </w:pPr>
      <w:r w:rsidRPr="006977B6">
        <w:rPr>
          <w:b w:val="0"/>
          <w:sz w:val="20"/>
        </w:rPr>
        <w:t>Table 4: Status requirements for trust/foundation grant recipients</w:t>
      </w:r>
      <w:r w:rsidRPr="006977B6">
        <w:rPr>
          <w:sz w:val="20"/>
        </w:rPr>
        <w:t xml:space="preserve"> </w:t>
      </w:r>
    </w:p>
    <w:tbl>
      <w:tblPr>
        <w:tblStyle w:val="GivingReportTable"/>
        <w:tblW w:w="4970" w:type="pct"/>
        <w:tblBorders>
          <w:top w:val="single" w:sz="4" w:space="0" w:color="6D0E09"/>
          <w:bottom w:val="single" w:sz="4" w:space="0" w:color="6D0E09"/>
        </w:tblBorders>
        <w:tblLook w:val="04A0" w:firstRow="1" w:lastRow="0" w:firstColumn="1" w:lastColumn="0" w:noHBand="0" w:noVBand="1"/>
        <w:tblCaption w:val="Tax status requirements for trust/foundation grant recipients"/>
        <w:tblDescription w:val="51.7% of trusts and foundations require tax concession charity status before they will give a grant to an organisation. 25.3% do not require tax concession charity status. 23% are flexible about whether the organisation has the status. 66.7% require Deductible Gift Recipient status, 19.6% are flexible and 13.7% do not require it. "/>
      </w:tblPr>
      <w:tblGrid>
        <w:gridCol w:w="2567"/>
        <w:gridCol w:w="846"/>
        <w:gridCol w:w="909"/>
        <w:gridCol w:w="908"/>
      </w:tblGrid>
      <w:tr w:rsidR="0030694A" w:rsidTr="007F1DA7">
        <w:trPr>
          <w:cnfStyle w:val="100000000000" w:firstRow="1" w:lastRow="0" w:firstColumn="0" w:lastColumn="0" w:oddVBand="0" w:evenVBand="0" w:oddHBand="0" w:evenHBand="0" w:firstRowFirstColumn="0" w:firstRowLastColumn="0" w:lastRowFirstColumn="0" w:lastRowLastColumn="0"/>
          <w:trHeight w:val="269"/>
          <w:tblHeader/>
        </w:trPr>
        <w:tc>
          <w:tcPr>
            <w:tcW w:w="2454" w:type="pct"/>
            <w:tcBorders>
              <w:top w:val="single" w:sz="4" w:space="0" w:color="6D0E09"/>
              <w:bottom w:val="single" w:sz="4" w:space="0" w:color="6D0E09"/>
            </w:tcBorders>
          </w:tcPr>
          <w:p w:rsidR="0030694A" w:rsidRPr="00C044B4" w:rsidRDefault="0030694A" w:rsidP="007F1DA7">
            <w:pPr>
              <w:pStyle w:val="GivingReportFigureTitle"/>
              <w:rPr>
                <w:color w:val="6D0E09"/>
                <w:sz w:val="22"/>
              </w:rPr>
            </w:pPr>
            <w:r w:rsidRPr="00C044B4">
              <w:rPr>
                <w:color w:val="6D0E09"/>
                <w:sz w:val="22"/>
              </w:rPr>
              <w:t>Status</w:t>
            </w:r>
          </w:p>
        </w:tc>
        <w:tc>
          <w:tcPr>
            <w:tcW w:w="809" w:type="pct"/>
            <w:tcBorders>
              <w:top w:val="single" w:sz="4" w:space="0" w:color="6D0E09"/>
              <w:bottom w:val="single" w:sz="4" w:space="0" w:color="6D0E09"/>
            </w:tcBorders>
          </w:tcPr>
          <w:p w:rsidR="0030694A" w:rsidRPr="00C044B4" w:rsidRDefault="0030694A" w:rsidP="007F1DA7">
            <w:pPr>
              <w:pStyle w:val="GivingReportFigureTitle"/>
              <w:rPr>
                <w:color w:val="6D0E09"/>
                <w:sz w:val="22"/>
              </w:rPr>
            </w:pPr>
            <w:r w:rsidRPr="00C044B4">
              <w:rPr>
                <w:color w:val="6D0E09"/>
                <w:sz w:val="22"/>
              </w:rPr>
              <w:t>Yes</w:t>
            </w:r>
          </w:p>
        </w:tc>
        <w:tc>
          <w:tcPr>
            <w:tcW w:w="869" w:type="pct"/>
            <w:tcBorders>
              <w:top w:val="single" w:sz="4" w:space="0" w:color="6D0E09"/>
              <w:bottom w:val="single" w:sz="4" w:space="0" w:color="6D0E09"/>
            </w:tcBorders>
          </w:tcPr>
          <w:p w:rsidR="0030694A" w:rsidRPr="00C044B4" w:rsidRDefault="0030694A" w:rsidP="007F1DA7">
            <w:pPr>
              <w:pStyle w:val="GivingReportFigureTitle"/>
              <w:rPr>
                <w:color w:val="6D0E09"/>
                <w:sz w:val="22"/>
              </w:rPr>
            </w:pPr>
            <w:r w:rsidRPr="00C044B4">
              <w:rPr>
                <w:color w:val="6D0E09"/>
                <w:sz w:val="22"/>
              </w:rPr>
              <w:t>No</w:t>
            </w:r>
          </w:p>
        </w:tc>
        <w:tc>
          <w:tcPr>
            <w:tcW w:w="868" w:type="pct"/>
            <w:tcBorders>
              <w:top w:val="single" w:sz="4" w:space="0" w:color="6D0E09"/>
              <w:bottom w:val="single" w:sz="4" w:space="0" w:color="6D0E09"/>
            </w:tcBorders>
          </w:tcPr>
          <w:p w:rsidR="0030694A" w:rsidRPr="00C044B4" w:rsidRDefault="0030694A" w:rsidP="007F1DA7">
            <w:pPr>
              <w:pStyle w:val="GivingReportFigureTitle"/>
              <w:rPr>
                <w:color w:val="6D0E09"/>
                <w:sz w:val="22"/>
              </w:rPr>
            </w:pPr>
            <w:r w:rsidRPr="00C044B4">
              <w:rPr>
                <w:color w:val="6D0E09"/>
                <w:sz w:val="22"/>
              </w:rPr>
              <w:t>Flexible</w:t>
            </w:r>
          </w:p>
        </w:tc>
      </w:tr>
      <w:tr w:rsidR="0030694A" w:rsidTr="007F1DA7">
        <w:trPr>
          <w:cnfStyle w:val="000000100000" w:firstRow="0" w:lastRow="0" w:firstColumn="0" w:lastColumn="0" w:oddVBand="0" w:evenVBand="0" w:oddHBand="1" w:evenHBand="0" w:firstRowFirstColumn="0" w:firstRowLastColumn="0" w:lastRowFirstColumn="0" w:lastRowLastColumn="0"/>
          <w:trHeight w:val="269"/>
        </w:trPr>
        <w:tc>
          <w:tcPr>
            <w:tcW w:w="2454" w:type="pct"/>
            <w:tcBorders>
              <w:top w:val="single" w:sz="4" w:space="0" w:color="6D0E09"/>
            </w:tcBorders>
          </w:tcPr>
          <w:p w:rsidR="0030694A" w:rsidRPr="006977B6" w:rsidRDefault="0030694A" w:rsidP="007F1DA7">
            <w:pPr>
              <w:rPr>
                <w:sz w:val="22"/>
              </w:rPr>
            </w:pPr>
            <w:r w:rsidRPr="006977B6">
              <w:rPr>
                <w:sz w:val="22"/>
              </w:rPr>
              <w:t>Charitable (TCC) status</w:t>
            </w:r>
          </w:p>
        </w:tc>
        <w:tc>
          <w:tcPr>
            <w:tcW w:w="809" w:type="pct"/>
            <w:tcBorders>
              <w:top w:val="single" w:sz="4" w:space="0" w:color="6D0E09"/>
            </w:tcBorders>
          </w:tcPr>
          <w:p w:rsidR="0030694A" w:rsidRPr="006977B6" w:rsidRDefault="0030694A" w:rsidP="007F1DA7">
            <w:pPr>
              <w:jc w:val="center"/>
              <w:rPr>
                <w:sz w:val="22"/>
              </w:rPr>
            </w:pPr>
            <w:r w:rsidRPr="006977B6">
              <w:rPr>
                <w:sz w:val="22"/>
              </w:rPr>
              <w:t>51.7%</w:t>
            </w:r>
          </w:p>
        </w:tc>
        <w:tc>
          <w:tcPr>
            <w:tcW w:w="869" w:type="pct"/>
            <w:tcBorders>
              <w:top w:val="single" w:sz="4" w:space="0" w:color="6D0E09"/>
            </w:tcBorders>
          </w:tcPr>
          <w:p w:rsidR="0030694A" w:rsidRPr="006977B6" w:rsidRDefault="0030694A" w:rsidP="007F1DA7">
            <w:pPr>
              <w:jc w:val="center"/>
              <w:rPr>
                <w:sz w:val="22"/>
              </w:rPr>
            </w:pPr>
            <w:r w:rsidRPr="006977B6">
              <w:rPr>
                <w:sz w:val="22"/>
              </w:rPr>
              <w:t>25.3%</w:t>
            </w:r>
          </w:p>
        </w:tc>
        <w:tc>
          <w:tcPr>
            <w:tcW w:w="868" w:type="pct"/>
            <w:tcBorders>
              <w:top w:val="single" w:sz="4" w:space="0" w:color="6D0E09"/>
            </w:tcBorders>
          </w:tcPr>
          <w:p w:rsidR="0030694A" w:rsidRPr="006977B6" w:rsidRDefault="0030694A" w:rsidP="007F1DA7">
            <w:pPr>
              <w:jc w:val="center"/>
              <w:rPr>
                <w:sz w:val="22"/>
              </w:rPr>
            </w:pPr>
            <w:r w:rsidRPr="006977B6">
              <w:rPr>
                <w:sz w:val="22"/>
              </w:rPr>
              <w:t>23.0%</w:t>
            </w:r>
          </w:p>
        </w:tc>
      </w:tr>
      <w:tr w:rsidR="0030694A" w:rsidTr="007F1DA7">
        <w:trPr>
          <w:cnfStyle w:val="000000010000" w:firstRow="0" w:lastRow="0" w:firstColumn="0" w:lastColumn="0" w:oddVBand="0" w:evenVBand="0" w:oddHBand="0" w:evenHBand="1" w:firstRowFirstColumn="0" w:firstRowLastColumn="0" w:lastRowFirstColumn="0" w:lastRowLastColumn="0"/>
          <w:trHeight w:val="269"/>
        </w:trPr>
        <w:tc>
          <w:tcPr>
            <w:tcW w:w="2454" w:type="pct"/>
          </w:tcPr>
          <w:p w:rsidR="0030694A" w:rsidRPr="006977B6" w:rsidRDefault="0030694A" w:rsidP="007F1DA7">
            <w:pPr>
              <w:rPr>
                <w:sz w:val="22"/>
              </w:rPr>
            </w:pPr>
            <w:r w:rsidRPr="006977B6">
              <w:rPr>
                <w:sz w:val="22"/>
              </w:rPr>
              <w:t>Deductible Gift Recipient (DGR item1) status</w:t>
            </w:r>
          </w:p>
        </w:tc>
        <w:tc>
          <w:tcPr>
            <w:tcW w:w="809" w:type="pct"/>
          </w:tcPr>
          <w:p w:rsidR="0030694A" w:rsidRPr="006977B6" w:rsidRDefault="0030694A" w:rsidP="007F1DA7">
            <w:pPr>
              <w:jc w:val="center"/>
              <w:rPr>
                <w:sz w:val="22"/>
              </w:rPr>
            </w:pPr>
            <w:r w:rsidRPr="006977B6">
              <w:rPr>
                <w:sz w:val="22"/>
              </w:rPr>
              <w:t>66.7%</w:t>
            </w:r>
          </w:p>
        </w:tc>
        <w:tc>
          <w:tcPr>
            <w:tcW w:w="869" w:type="pct"/>
          </w:tcPr>
          <w:p w:rsidR="0030694A" w:rsidRPr="006977B6" w:rsidRDefault="0030694A" w:rsidP="007F1DA7">
            <w:pPr>
              <w:jc w:val="center"/>
              <w:rPr>
                <w:sz w:val="22"/>
              </w:rPr>
            </w:pPr>
            <w:r w:rsidRPr="006977B6">
              <w:rPr>
                <w:sz w:val="22"/>
              </w:rPr>
              <w:t>13.7%</w:t>
            </w:r>
          </w:p>
        </w:tc>
        <w:tc>
          <w:tcPr>
            <w:tcW w:w="868" w:type="pct"/>
          </w:tcPr>
          <w:p w:rsidR="0030694A" w:rsidRPr="006977B6" w:rsidRDefault="0030694A" w:rsidP="007F1DA7">
            <w:pPr>
              <w:jc w:val="center"/>
              <w:rPr>
                <w:sz w:val="22"/>
              </w:rPr>
            </w:pPr>
            <w:r w:rsidRPr="006977B6">
              <w:rPr>
                <w:sz w:val="22"/>
              </w:rPr>
              <w:t>19.6%</w:t>
            </w:r>
          </w:p>
        </w:tc>
      </w:tr>
    </w:tbl>
    <w:p w:rsidR="0030694A" w:rsidRPr="00FE195F" w:rsidRDefault="0030694A" w:rsidP="0030694A">
      <w:pPr>
        <w:pStyle w:val="Heading1"/>
        <w:spacing w:after="0" w:line="320" w:lineRule="exact"/>
        <w:rPr>
          <w:sz w:val="20"/>
          <w:szCs w:val="20"/>
        </w:rPr>
      </w:pPr>
      <w:bookmarkStart w:id="1" w:name="_GoBack"/>
      <w:bookmarkEnd w:id="1"/>
    </w:p>
    <w:p w:rsidR="0030694A" w:rsidRPr="008F31AE" w:rsidRDefault="0030694A" w:rsidP="0030694A">
      <w:pPr>
        <w:pStyle w:val="Heading1"/>
        <w:spacing w:after="0" w:line="320" w:lineRule="exact"/>
        <w:rPr>
          <w:color w:val="6D0E09"/>
        </w:rPr>
      </w:pPr>
      <w:r w:rsidRPr="008F31AE">
        <w:rPr>
          <w:color w:val="6D0E09"/>
        </w:rPr>
        <w:t xml:space="preserve">How does giving change over time? </w:t>
      </w:r>
    </w:p>
    <w:p w:rsidR="0030694A" w:rsidRDefault="0030694A" w:rsidP="0030694A">
      <w:pPr>
        <w:spacing w:after="0" w:line="320" w:lineRule="exact"/>
      </w:pPr>
      <w:r>
        <w:t xml:space="preserve">Foundations and philanthropists tend to choose a giving strategy and then stick to it. Nearly three quarters (72.5 % of survey respondents) reported their giving </w:t>
      </w:r>
      <w:r w:rsidRPr="00A4091B">
        <w:t>priorities</w:t>
      </w:r>
      <w:r>
        <w:t xml:space="preserve"> have not changed significantly over the past ten years. However, just over half (53.9%) indicated that their </w:t>
      </w:r>
      <w:r w:rsidRPr="000F168C">
        <w:t>process</w:t>
      </w:r>
      <w:r>
        <w:t>es have changed significantly. Common changes include:</w:t>
      </w:r>
      <w:r w:rsidRPr="00BE310D">
        <w:t xml:space="preserve"> </w:t>
      </w:r>
    </w:p>
    <w:p w:rsidR="0030694A" w:rsidRDefault="0030694A" w:rsidP="0030694A">
      <w:pPr>
        <w:pStyle w:val="ListParagraph"/>
        <w:numPr>
          <w:ilvl w:val="0"/>
          <w:numId w:val="9"/>
        </w:numPr>
        <w:spacing w:after="0" w:line="320" w:lineRule="exact"/>
      </w:pPr>
      <w:r>
        <w:t>moving to online grant applications</w:t>
      </w:r>
    </w:p>
    <w:p w:rsidR="0030694A" w:rsidRDefault="0030694A" w:rsidP="0030694A">
      <w:pPr>
        <w:pStyle w:val="ListParagraph"/>
        <w:numPr>
          <w:ilvl w:val="0"/>
          <w:numId w:val="9"/>
        </w:numPr>
        <w:spacing w:after="0" w:line="320" w:lineRule="exact"/>
      </w:pPr>
      <w:r>
        <w:t>requesting expressions of interest from applicants prior to the submission of a full application</w:t>
      </w:r>
    </w:p>
    <w:p w:rsidR="0030694A" w:rsidRPr="002913C1" w:rsidRDefault="0030694A" w:rsidP="0030694A">
      <w:pPr>
        <w:pStyle w:val="ListParagraph"/>
        <w:numPr>
          <w:ilvl w:val="0"/>
          <w:numId w:val="9"/>
        </w:numPr>
        <w:spacing w:after="0" w:line="320" w:lineRule="exact"/>
      </w:pPr>
      <w:r>
        <w:t>taking a more proactive approach in seeking out organisations aligned to grant-making priorities</w:t>
      </w:r>
    </w:p>
    <w:p w:rsidR="0030694A" w:rsidRDefault="0030694A" w:rsidP="0030694A">
      <w:pPr>
        <w:pStyle w:val="ListParagraph"/>
        <w:numPr>
          <w:ilvl w:val="0"/>
          <w:numId w:val="9"/>
        </w:numPr>
        <w:spacing w:after="0" w:line="320" w:lineRule="exact"/>
      </w:pPr>
      <w:r>
        <w:t xml:space="preserve">greater due diligence and research into organisational capacity, and </w:t>
      </w:r>
    </w:p>
    <w:p w:rsidR="0030694A" w:rsidRDefault="0030694A" w:rsidP="0030694A">
      <w:pPr>
        <w:pStyle w:val="ListParagraph"/>
        <w:numPr>
          <w:ilvl w:val="0"/>
          <w:numId w:val="9"/>
        </w:numPr>
        <w:spacing w:after="0" w:line="320" w:lineRule="exact"/>
      </w:pPr>
      <w:proofErr w:type="gramStart"/>
      <w:r>
        <w:t>using</w:t>
      </w:r>
      <w:proofErr w:type="gramEnd"/>
      <w:r>
        <w:t xml:space="preserve"> online technologies to assist review and decision making.</w:t>
      </w:r>
    </w:p>
    <w:p w:rsidR="0030694A" w:rsidRDefault="0030694A" w:rsidP="0030694A">
      <w:pPr>
        <w:pStyle w:val="ListParagraph"/>
        <w:spacing w:after="0" w:line="320" w:lineRule="exact"/>
      </w:pPr>
    </w:p>
    <w:p w:rsidR="0030694A" w:rsidRPr="008F31AE" w:rsidRDefault="0030694A" w:rsidP="0030694A">
      <w:pPr>
        <w:pStyle w:val="Heading1"/>
        <w:spacing w:after="0" w:line="320" w:lineRule="exact"/>
        <w:rPr>
          <w:color w:val="6D0E09"/>
        </w:rPr>
      </w:pPr>
      <w:r w:rsidRPr="008F31AE">
        <w:rPr>
          <w:color w:val="6D0E09"/>
        </w:rPr>
        <w:t>How can charities build relationships with donors?</w:t>
      </w:r>
    </w:p>
    <w:p w:rsidR="00C25C19" w:rsidRDefault="0030694A" w:rsidP="00C25C19">
      <w:pPr>
        <w:spacing w:after="0" w:line="320" w:lineRule="exact"/>
      </w:pPr>
      <w:r>
        <w:t>Many philanthropists indicated they value opportunities to meet the relevant people, build personal connections and see the impact that ca</w:t>
      </w:r>
      <w:r w:rsidR="00C25C19">
        <w:t>n be achieved by organisations.</w:t>
      </w:r>
      <w:r w:rsidR="00F24B25">
        <w:br w:type="column"/>
      </w:r>
      <w:r w:rsidR="00C25C19">
        <w:lastRenderedPageBreak/>
        <w:t>Direct contact was also reported to help philanthropists establish a sense of credibility and trust in the charitable organisation they are considering supporting.</w:t>
      </w:r>
    </w:p>
    <w:p w:rsidR="00C25C19" w:rsidRDefault="00C25C19" w:rsidP="00C25C19">
      <w:pPr>
        <w:spacing w:after="0" w:line="320" w:lineRule="exact"/>
      </w:pPr>
    </w:p>
    <w:p w:rsidR="00C25C19" w:rsidRDefault="00C25C19" w:rsidP="00C25C19">
      <w:pPr>
        <w:spacing w:after="0" w:line="320" w:lineRule="exact"/>
      </w:pPr>
      <w:r>
        <w:t>Direct contact can also provide value to the charitable organisation. Philanthropists said they were commonly able to contribute their skills and knowledge to building the organisation’s capacity in areas that need development.</w:t>
      </w:r>
    </w:p>
    <w:p w:rsidR="00C25C19" w:rsidRDefault="00C25C19" w:rsidP="00C25C19">
      <w:pPr>
        <w:pStyle w:val="Heading1"/>
        <w:spacing w:after="0" w:line="320" w:lineRule="exact"/>
      </w:pPr>
    </w:p>
    <w:p w:rsidR="00C25C19" w:rsidRPr="008F31AE" w:rsidRDefault="00C25C19" w:rsidP="00C25C19">
      <w:pPr>
        <w:pStyle w:val="Heading1"/>
        <w:spacing w:after="0" w:line="320" w:lineRule="exact"/>
        <w:rPr>
          <w:color w:val="6D0E09"/>
        </w:rPr>
      </w:pPr>
      <w:r w:rsidRPr="008F31AE">
        <w:rPr>
          <w:color w:val="6D0E09"/>
        </w:rPr>
        <w:t>How can more giving be encouraged?</w:t>
      </w:r>
    </w:p>
    <w:p w:rsidR="00C25C19" w:rsidRDefault="00C25C19" w:rsidP="00C25C19">
      <w:pPr>
        <w:spacing w:after="0" w:line="320" w:lineRule="exact"/>
      </w:pPr>
      <w:r>
        <w:t>Factors found to encourage more giving include:</w:t>
      </w:r>
      <w:r w:rsidR="0049506A" w:rsidRPr="0049506A">
        <w:rPr>
          <w:noProof/>
          <w:lang w:eastAsia="en-AU"/>
        </w:rPr>
        <w:t xml:space="preserve"> </w:t>
      </w:r>
    </w:p>
    <w:p w:rsidR="00C25C19" w:rsidRDefault="00C25C19" w:rsidP="00C25C19">
      <w:pPr>
        <w:pStyle w:val="ListParagraph"/>
        <w:numPr>
          <w:ilvl w:val="0"/>
          <w:numId w:val="9"/>
        </w:numPr>
        <w:spacing w:after="0" w:line="320" w:lineRule="exact"/>
      </w:pPr>
      <w:r>
        <w:t>educational experience and exposure to giving and its impact</w:t>
      </w:r>
      <w:r w:rsidRPr="000D1127">
        <w:t xml:space="preserve"> </w:t>
      </w:r>
    </w:p>
    <w:p w:rsidR="00C25C19" w:rsidRDefault="00C25C19" w:rsidP="00C25C19">
      <w:pPr>
        <w:pStyle w:val="ListParagraph"/>
        <w:numPr>
          <w:ilvl w:val="0"/>
          <w:numId w:val="9"/>
        </w:numPr>
        <w:spacing w:after="0" w:line="320" w:lineRule="exact"/>
      </w:pPr>
      <w:r>
        <w:t xml:space="preserve">support and encouragement for giving </w:t>
      </w:r>
    </w:p>
    <w:p w:rsidR="00C25C19" w:rsidRDefault="00C25C19" w:rsidP="00C25C19">
      <w:pPr>
        <w:pStyle w:val="ListParagraph"/>
        <w:numPr>
          <w:ilvl w:val="0"/>
          <w:numId w:val="9"/>
        </w:numPr>
        <w:spacing w:after="0" w:line="320" w:lineRule="exact"/>
      </w:pPr>
      <w:r>
        <w:t>celebrating giving, and</w:t>
      </w:r>
    </w:p>
    <w:p w:rsidR="00C25C19" w:rsidRDefault="00C25C19" w:rsidP="00C25C19">
      <w:pPr>
        <w:pStyle w:val="ListParagraph"/>
        <w:numPr>
          <w:ilvl w:val="0"/>
          <w:numId w:val="9"/>
        </w:numPr>
        <w:spacing w:after="0" w:line="320" w:lineRule="exact"/>
      </w:pPr>
      <w:proofErr w:type="gramStart"/>
      <w:r>
        <w:t>pathways</w:t>
      </w:r>
      <w:proofErr w:type="gramEnd"/>
      <w:r>
        <w:t xml:space="preserve"> that make giving easier e.g. new technology platforms, community </w:t>
      </w:r>
      <w:r w:rsidR="00021E46">
        <w:t>foundations and giving circles.</w:t>
      </w:r>
    </w:p>
    <w:p w:rsidR="00021E46" w:rsidRDefault="0049506A" w:rsidP="00021E46">
      <w:pPr>
        <w:spacing w:after="0" w:line="320" w:lineRule="exact"/>
      </w:pPr>
      <w:r>
        <w:rPr>
          <w:noProof/>
          <w:lang w:eastAsia="en-AU"/>
        </w:rPr>
        <mc:AlternateContent>
          <mc:Choice Requires="wps">
            <w:drawing>
              <wp:anchor distT="0" distB="0" distL="114300" distR="114300" simplePos="0" relativeHeight="251664383" behindDoc="1" locked="0" layoutInCell="1" allowOverlap="1" wp14:anchorId="3261D48B" wp14:editId="6E23B9E6">
                <wp:simplePos x="0" y="0"/>
                <wp:positionH relativeFrom="column">
                  <wp:posOffset>-114300</wp:posOffset>
                </wp:positionH>
                <wp:positionV relativeFrom="paragraph">
                  <wp:posOffset>151765</wp:posOffset>
                </wp:positionV>
                <wp:extent cx="3353435" cy="3486150"/>
                <wp:effectExtent l="0" t="0" r="18415" b="19050"/>
                <wp:wrapNone/>
                <wp:docPr id="3" name="Rectangle 3" descr="Decorative" title="Column border"/>
                <wp:cNvGraphicFramePr/>
                <a:graphic xmlns:a="http://schemas.openxmlformats.org/drawingml/2006/main">
                  <a:graphicData uri="http://schemas.microsoft.com/office/word/2010/wordprocessingShape">
                    <wps:wsp>
                      <wps:cNvSpPr/>
                      <wps:spPr>
                        <a:xfrm>
                          <a:off x="0" y="0"/>
                          <a:ext cx="3353435" cy="3486150"/>
                        </a:xfrm>
                        <a:prstGeom prst="rect">
                          <a:avLst/>
                        </a:prstGeom>
                        <a:solidFill>
                          <a:srgbClr val="FFE6D3"/>
                        </a:solidFill>
                        <a:ln w="12700" cap="flat" cmpd="sng" algn="ctr">
                          <a:solidFill>
                            <a:sysClr val="windowText" lastClr="000000">
                              <a:lumMod val="75000"/>
                              <a:lumOff val="25000"/>
                            </a:sys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6815E57" id="Rectangle 3" o:spid="_x0000_s1026" alt="Title: Column border - Description: Decorative" style="position:absolute;margin-left:-9pt;margin-top:11.95pt;width:264.05pt;height:274.5pt;z-index:-2516520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" fillcolor="#ffe6d3" strokecolor="#404040" strokeweight="1pt">
                <v:stroke dashstyle="dash"/>
              </v:rect>
            </w:pict>
          </mc:Fallback>
        </mc:AlternateContent>
      </w:r>
    </w:p>
    <w:p w:rsidR="00021E46" w:rsidRPr="006977B6" w:rsidRDefault="00021E46" w:rsidP="0049506A">
      <w:pPr>
        <w:pStyle w:val="Heading1"/>
        <w:rPr>
          <w:rFonts w:eastAsia="Times New Roman"/>
          <w:color w:val="6D0E09"/>
        </w:rPr>
      </w:pPr>
      <w:r w:rsidRPr="00F35713">
        <w:rPr>
          <w:rFonts w:eastAsia="Times New Roman"/>
          <w:i/>
          <w:color w:val="6D0E09"/>
        </w:rPr>
        <w:t>Giving Australia 2016</w:t>
      </w:r>
      <w:r w:rsidRPr="006977B6">
        <w:rPr>
          <w:rFonts w:eastAsia="Times New Roman"/>
          <w:color w:val="6D0E09"/>
        </w:rPr>
        <w:t xml:space="preserve"> report series</w:t>
      </w:r>
    </w:p>
    <w:p w:rsidR="00021E46" w:rsidRPr="008F31AE" w:rsidRDefault="00021E46" w:rsidP="0049506A">
      <w:pPr>
        <w:keepNext/>
        <w:keepLines/>
        <w:spacing w:after="0" w:line="240" w:lineRule="auto"/>
        <w:outlineLvl w:val="0"/>
        <w:rPr>
          <w:rFonts w:ascii="Century Gothic" w:eastAsia="Times New Roman" w:hAnsi="Century Gothic"/>
          <w:bCs/>
          <w:color w:val="6D0E09"/>
          <w:sz w:val="12"/>
          <w:szCs w:val="12"/>
        </w:rPr>
      </w:pPr>
    </w:p>
    <w:p w:rsidR="00021E46" w:rsidRPr="0043070A" w:rsidRDefault="00021E46" w:rsidP="0049506A">
      <w:pPr>
        <w:numPr>
          <w:ilvl w:val="0"/>
          <w:numId w:val="10"/>
        </w:numPr>
        <w:spacing w:after="0" w:line="240" w:lineRule="auto"/>
        <w:ind w:left="360"/>
        <w:contextualSpacing/>
        <w:rPr>
          <w:rFonts w:eastAsia="Calibri" w:cs="Times New Roman"/>
          <w:i/>
          <w:szCs w:val="20"/>
        </w:rPr>
      </w:pPr>
      <w:r w:rsidRPr="0043070A">
        <w:rPr>
          <w:rFonts w:eastAsia="Calibri" w:cs="Times New Roman"/>
          <w:i/>
          <w:szCs w:val="20"/>
        </w:rPr>
        <w:t>Giving Australia 2016: a summary</w:t>
      </w:r>
    </w:p>
    <w:p w:rsidR="00021E46" w:rsidRPr="0043070A" w:rsidRDefault="00021E46" w:rsidP="0049506A">
      <w:pPr>
        <w:numPr>
          <w:ilvl w:val="0"/>
          <w:numId w:val="10"/>
        </w:numPr>
        <w:spacing w:after="0" w:line="240" w:lineRule="auto"/>
        <w:ind w:left="360"/>
        <w:contextualSpacing/>
        <w:rPr>
          <w:rFonts w:eastAsia="Calibri" w:cs="Times New Roman"/>
          <w:i/>
          <w:szCs w:val="20"/>
        </w:rPr>
      </w:pPr>
      <w:r w:rsidRPr="0043070A">
        <w:rPr>
          <w:rFonts w:eastAsia="Calibri" w:cs="Times New Roman"/>
          <w:i/>
          <w:szCs w:val="20"/>
        </w:rPr>
        <w:t>Philanthropy and philanthropists</w:t>
      </w:r>
    </w:p>
    <w:p w:rsidR="00021E46" w:rsidRPr="0043070A" w:rsidRDefault="00021E46" w:rsidP="0049506A">
      <w:pPr>
        <w:numPr>
          <w:ilvl w:val="0"/>
          <w:numId w:val="10"/>
        </w:numPr>
        <w:spacing w:after="0" w:line="240" w:lineRule="auto"/>
        <w:ind w:left="360"/>
        <w:contextualSpacing/>
        <w:rPr>
          <w:rFonts w:eastAsia="Calibri" w:cs="Times New Roman"/>
          <w:i/>
          <w:color w:val="404040"/>
          <w:szCs w:val="20"/>
        </w:rPr>
      </w:pPr>
      <w:r w:rsidRPr="0043070A">
        <w:rPr>
          <w:rFonts w:eastAsia="Calibri" w:cs="Times New Roman"/>
          <w:i/>
          <w:szCs w:val="20"/>
        </w:rPr>
        <w:t xml:space="preserve">Giving and volunteering – the </w:t>
      </w:r>
      <w:proofErr w:type="spellStart"/>
      <w:r w:rsidRPr="0043070A">
        <w:rPr>
          <w:rFonts w:eastAsia="Calibri" w:cs="Times New Roman"/>
          <w:i/>
          <w:szCs w:val="20"/>
        </w:rPr>
        <w:t>nonprofit</w:t>
      </w:r>
      <w:proofErr w:type="spellEnd"/>
      <w:r w:rsidRPr="0043070A">
        <w:rPr>
          <w:rFonts w:eastAsia="Calibri" w:cs="Times New Roman"/>
          <w:i/>
          <w:szCs w:val="20"/>
        </w:rPr>
        <w:t xml:space="preserve"> perspective</w:t>
      </w:r>
    </w:p>
    <w:p w:rsidR="00021E46" w:rsidRPr="0043070A" w:rsidRDefault="00021E46" w:rsidP="0049506A">
      <w:pPr>
        <w:numPr>
          <w:ilvl w:val="0"/>
          <w:numId w:val="10"/>
        </w:numPr>
        <w:spacing w:after="0" w:line="240" w:lineRule="auto"/>
        <w:ind w:left="360"/>
        <w:contextualSpacing/>
        <w:rPr>
          <w:rFonts w:eastAsia="Calibri" w:cs="Times New Roman"/>
          <w:i/>
          <w:color w:val="404040"/>
          <w:szCs w:val="20"/>
        </w:rPr>
      </w:pPr>
      <w:r w:rsidRPr="0043070A">
        <w:rPr>
          <w:rFonts w:eastAsia="Calibri" w:cs="Times New Roman"/>
          <w:i/>
          <w:szCs w:val="20"/>
        </w:rPr>
        <w:t xml:space="preserve">Business giving and volunteering </w:t>
      </w:r>
    </w:p>
    <w:p w:rsidR="00021E46" w:rsidRPr="0043070A" w:rsidRDefault="00021E46" w:rsidP="0049506A">
      <w:pPr>
        <w:numPr>
          <w:ilvl w:val="0"/>
          <w:numId w:val="10"/>
        </w:numPr>
        <w:spacing w:after="0" w:line="240" w:lineRule="auto"/>
        <w:ind w:left="360"/>
        <w:contextualSpacing/>
        <w:rPr>
          <w:rFonts w:eastAsia="Calibri" w:cs="Times New Roman"/>
          <w:i/>
          <w:szCs w:val="20"/>
        </w:rPr>
      </w:pPr>
      <w:r w:rsidRPr="0043070A">
        <w:rPr>
          <w:rFonts w:eastAsia="Calibri" w:cs="Times New Roman"/>
          <w:i/>
          <w:szCs w:val="20"/>
        </w:rPr>
        <w:t>Individual giving and volunteering</w:t>
      </w:r>
    </w:p>
    <w:p w:rsidR="00021E46" w:rsidRPr="0043070A" w:rsidRDefault="00021E46" w:rsidP="0049506A">
      <w:pPr>
        <w:numPr>
          <w:ilvl w:val="0"/>
          <w:numId w:val="10"/>
        </w:numPr>
        <w:spacing w:after="0" w:line="240" w:lineRule="auto"/>
        <w:ind w:left="360"/>
        <w:contextualSpacing/>
        <w:rPr>
          <w:rFonts w:eastAsia="Calibri" w:cs="Times New Roman"/>
          <w:i/>
          <w:sz w:val="20"/>
          <w:szCs w:val="20"/>
        </w:rPr>
      </w:pPr>
      <w:r w:rsidRPr="0043070A">
        <w:rPr>
          <w:rFonts w:eastAsia="Calibri" w:cs="Times New Roman"/>
          <w:i/>
        </w:rPr>
        <w:t>Giving Australia 2016 Literature review summary report</w:t>
      </w:r>
    </w:p>
    <w:p w:rsidR="00021E46" w:rsidRPr="0043070A" w:rsidRDefault="00021E46" w:rsidP="0049506A">
      <w:pPr>
        <w:numPr>
          <w:ilvl w:val="0"/>
          <w:numId w:val="10"/>
        </w:numPr>
        <w:spacing w:after="0" w:line="240" w:lineRule="auto"/>
        <w:ind w:left="360"/>
        <w:contextualSpacing/>
        <w:rPr>
          <w:rFonts w:eastAsia="Calibri" w:cs="Times New Roman"/>
          <w:i/>
          <w:sz w:val="20"/>
          <w:szCs w:val="20"/>
        </w:rPr>
      </w:pPr>
      <w:r w:rsidRPr="0043070A">
        <w:rPr>
          <w:rFonts w:eastAsia="Calibri" w:cs="Times New Roman"/>
          <w:i/>
          <w:szCs w:val="20"/>
        </w:rPr>
        <w:t>Giving Australia 2016 Literature review</w:t>
      </w:r>
    </w:p>
    <w:p w:rsidR="00021E46" w:rsidRPr="00347CE2" w:rsidRDefault="00021E46" w:rsidP="0049506A">
      <w:pPr>
        <w:spacing w:after="0" w:line="240" w:lineRule="auto"/>
        <w:contextualSpacing/>
        <w:rPr>
          <w:rFonts w:eastAsia="Calibri" w:cs="Times New Roman"/>
          <w:i/>
          <w:sz w:val="18"/>
          <w:szCs w:val="20"/>
        </w:rPr>
      </w:pPr>
    </w:p>
    <w:p w:rsidR="00021E46" w:rsidRPr="0049506A" w:rsidRDefault="00021E46" w:rsidP="0049506A">
      <w:pPr>
        <w:pStyle w:val="Heading1"/>
        <w:spacing w:after="0" w:line="240" w:lineRule="auto"/>
      </w:pPr>
      <w:r w:rsidRPr="0049506A">
        <w:rPr>
          <w:rFonts w:eastAsia="Times New Roman"/>
          <w:color w:val="6D0E09"/>
        </w:rPr>
        <w:t>For more information:</w:t>
      </w:r>
      <w:r w:rsidRPr="0049506A">
        <w:t xml:space="preserve"> </w:t>
      </w:r>
    </w:p>
    <w:p w:rsidR="00021E46" w:rsidRPr="006977B6" w:rsidRDefault="008644A2" w:rsidP="0049506A">
      <w:pPr>
        <w:spacing w:after="0" w:line="240" w:lineRule="auto"/>
      </w:pPr>
      <w:hyperlink r:id="rId15" w:tooltip="The Australian Centre for Philanthropy and Nonprofit Studies website" w:history="1">
        <w:r w:rsidR="00021E46">
          <w:rPr>
            <w:u w:val="single"/>
          </w:rPr>
          <w:t>The Australian Centre for Philanthropy and Nonprofit Studies</w:t>
        </w:r>
      </w:hyperlink>
    </w:p>
    <w:p w:rsidR="00021E46" w:rsidRPr="006977B6" w:rsidRDefault="00021E46" w:rsidP="0049506A">
      <w:pPr>
        <w:spacing w:after="0" w:line="240" w:lineRule="auto"/>
      </w:pPr>
      <w:r w:rsidRPr="006977B6">
        <w:t>QUT | 07 3138 1020</w:t>
      </w:r>
    </w:p>
    <w:p w:rsidR="00021E46" w:rsidRPr="006977B6" w:rsidRDefault="008644A2" w:rsidP="0049506A">
      <w:pPr>
        <w:spacing w:after="0" w:line="240" w:lineRule="auto"/>
      </w:pPr>
      <w:hyperlink r:id="rId16" w:tooltip="Centre for Social Impact Swinburne website" w:history="1">
        <w:r w:rsidR="00021E46">
          <w:rPr>
            <w:u w:val="single"/>
          </w:rPr>
          <w:t>Centre for Social Impact Swinburne</w:t>
        </w:r>
      </w:hyperlink>
      <w:r w:rsidR="00021E46" w:rsidRPr="006977B6">
        <w:t xml:space="preserve"> </w:t>
      </w:r>
    </w:p>
    <w:p w:rsidR="00021E46" w:rsidRPr="006977B6" w:rsidRDefault="00021E46" w:rsidP="0049506A">
      <w:pPr>
        <w:spacing w:after="0" w:line="240" w:lineRule="auto"/>
      </w:pPr>
      <w:r w:rsidRPr="006977B6">
        <w:t xml:space="preserve">Swinburne University of Technology | 03 9214 8000 </w:t>
      </w:r>
    </w:p>
    <w:p w:rsidR="00AE0182" w:rsidRDefault="008644A2" w:rsidP="0049506A">
      <w:pPr>
        <w:spacing w:after="0" w:line="240" w:lineRule="auto"/>
      </w:pPr>
      <w:hyperlink r:id="rId17" w:tooltip="Centre for Corporate Public Affairs website" w:history="1">
        <w:r w:rsidR="00021E46">
          <w:rPr>
            <w:u w:val="single"/>
          </w:rPr>
          <w:t>Centre for Corporate Public Affairs</w:t>
        </w:r>
      </w:hyperlink>
      <w:r w:rsidR="0051201F">
        <w:t xml:space="preserve"> | 02 8272 5101</w:t>
      </w:r>
    </w:p>
    <w:p w:rsidR="00421F52" w:rsidRDefault="00421F52" w:rsidP="00421F52">
      <w:pPr>
        <w:spacing w:after="0" w:line="240" w:lineRule="auto"/>
      </w:pPr>
    </w:p>
    <w:p w:rsidR="00421F52" w:rsidRDefault="00421F52" w:rsidP="00421F52">
      <w:pPr>
        <w:spacing w:after="0" w:line="240" w:lineRule="auto"/>
        <w:sectPr w:rsidR="00421F52" w:rsidSect="00066B37">
          <w:headerReference w:type="even" r:id="rId18"/>
          <w:type w:val="continuous"/>
          <w:pgSz w:w="11906" w:h="16838" w:code="9"/>
          <w:pgMar w:top="1701" w:right="680" w:bottom="680" w:left="680" w:header="709" w:footer="454" w:gutter="0"/>
          <w:cols w:num="2" w:space="454"/>
          <w:titlePg/>
          <w:docGrid w:linePitch="360"/>
        </w:sectPr>
      </w:pPr>
    </w:p>
    <w:p w:rsidR="008D43A8" w:rsidRPr="00A30678" w:rsidRDefault="0049506A" w:rsidP="0049506A">
      <w:pPr>
        <w:spacing w:after="0"/>
        <w:jc w:val="center"/>
        <w:rPr>
          <w:color w:val="auto"/>
          <w:sz w:val="12"/>
          <w:szCs w:val="12"/>
        </w:rPr>
      </w:pPr>
      <w:r>
        <w:rPr>
          <w:noProof/>
          <w:lang w:eastAsia="en-AU"/>
        </w:rPr>
        <w:lastRenderedPageBreak/>
        <mc:AlternateContent>
          <mc:Choice Requires="wps">
            <w:drawing>
              <wp:anchor distT="0" distB="0" distL="114300" distR="114300" simplePos="0" relativeHeight="251682816" behindDoc="1" locked="0" layoutInCell="1" allowOverlap="1" wp14:anchorId="25CCBB04" wp14:editId="3A2F3C3B">
                <wp:simplePos x="0" y="0"/>
                <wp:positionH relativeFrom="column">
                  <wp:posOffset>-136525</wp:posOffset>
                </wp:positionH>
                <wp:positionV relativeFrom="paragraph">
                  <wp:posOffset>107950</wp:posOffset>
                </wp:positionV>
                <wp:extent cx="6868160" cy="371475"/>
                <wp:effectExtent l="0" t="0" r="27940" b="28575"/>
                <wp:wrapNone/>
                <wp:docPr id="4" name="Rectangle 4" descr="Decorative" title="Column border"/>
                <wp:cNvGraphicFramePr/>
                <a:graphic xmlns:a="http://schemas.openxmlformats.org/drawingml/2006/main">
                  <a:graphicData uri="http://schemas.microsoft.com/office/word/2010/wordprocessingShape">
                    <wps:wsp>
                      <wps:cNvSpPr/>
                      <wps:spPr>
                        <a:xfrm>
                          <a:off x="0" y="0"/>
                          <a:ext cx="6868160" cy="371475"/>
                        </a:xfrm>
                        <a:prstGeom prst="rect">
                          <a:avLst/>
                        </a:prstGeom>
                        <a:solidFill>
                          <a:srgbClr val="FFE6D3"/>
                        </a:solidFill>
                        <a:ln w="12700" cap="flat" cmpd="sng" algn="ctr">
                          <a:solidFill>
                            <a:sysClr val="windowText" lastClr="000000">
                              <a:lumMod val="75000"/>
                              <a:lumOff val="25000"/>
                            </a:sysClr>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D060510" id="Rectangle 4" o:spid="_x0000_s1026" alt="Title: Column border - Description: Decorative" style="position:absolute;margin-left:-10.75pt;margin-top:8.5pt;width:540.8pt;height:29.2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" fillcolor="#ffe6d3" strokecolor="#404040" strokeweight="1pt">
                <v:stroke dashstyle="dash"/>
              </v:rect>
            </w:pict>
          </mc:Fallback>
        </mc:AlternateContent>
      </w:r>
    </w:p>
    <w:p w:rsidR="0049506A" w:rsidRPr="0049506A" w:rsidRDefault="0049506A" w:rsidP="0049506A">
      <w:pPr>
        <w:spacing w:after="0"/>
        <w:jc w:val="center"/>
        <w:rPr>
          <w:color w:val="auto"/>
          <w:sz w:val="12"/>
          <w:szCs w:val="12"/>
        </w:rPr>
      </w:pPr>
    </w:p>
    <w:p w:rsidR="00EF7AE4" w:rsidRDefault="00AE0182" w:rsidP="0049506A">
      <w:pPr>
        <w:spacing w:after="0"/>
        <w:jc w:val="center"/>
        <w:rPr>
          <w:noProof/>
          <w:sz w:val="21"/>
          <w:szCs w:val="21"/>
          <w:lang w:eastAsia="en-AU"/>
        </w:rPr>
      </w:pPr>
      <w:proofErr w:type="gramStart"/>
      <w:r w:rsidRPr="00A30678">
        <w:rPr>
          <w:color w:val="auto"/>
          <w:sz w:val="21"/>
          <w:szCs w:val="21"/>
        </w:rPr>
        <w:t>Funded by the Australian Government Department of Social Services.</w:t>
      </w:r>
      <w:proofErr w:type="gramEnd"/>
      <w:r w:rsidRPr="00A30678">
        <w:rPr>
          <w:color w:val="auto"/>
          <w:sz w:val="21"/>
          <w:szCs w:val="21"/>
        </w:rPr>
        <w:t xml:space="preserve"> Go </w:t>
      </w:r>
      <w:r w:rsidRPr="0049506A">
        <w:rPr>
          <w:color w:val="auto"/>
          <w:sz w:val="21"/>
          <w:szCs w:val="21"/>
        </w:rPr>
        <w:t xml:space="preserve">to </w:t>
      </w:r>
      <w:hyperlink r:id="rId19" w:history="1">
        <w:r w:rsidR="0049506A" w:rsidRPr="0049506A">
          <w:rPr>
            <w:rStyle w:val="Hyperlink"/>
            <w:bCs/>
            <w:color w:val="auto"/>
            <w:sz w:val="21"/>
            <w:szCs w:val="21"/>
          </w:rPr>
          <w:t>www.dss.gov.au</w:t>
        </w:r>
      </w:hyperlink>
      <w:r w:rsidRPr="0049506A">
        <w:rPr>
          <w:color w:val="auto"/>
          <w:sz w:val="21"/>
          <w:szCs w:val="21"/>
        </w:rPr>
        <w:t xml:space="preserve"> for more information.</w:t>
      </w:r>
      <w:r w:rsidR="00A30678" w:rsidRPr="0049506A">
        <w:rPr>
          <w:noProof/>
          <w:color w:val="auto"/>
          <w:sz w:val="21"/>
          <w:szCs w:val="21"/>
          <w:lang w:eastAsia="en-AU"/>
        </w:rPr>
        <w:t xml:space="preserve"> </w:t>
      </w:r>
    </w:p>
    <w:p w:rsidR="00A30678" w:rsidRPr="00A30678" w:rsidRDefault="0049506A" w:rsidP="0049506A">
      <w:pPr>
        <w:spacing w:after="0"/>
        <w:jc w:val="center"/>
        <w:rPr>
          <w:sz w:val="12"/>
          <w:szCs w:val="12"/>
        </w:rPr>
      </w:pPr>
      <w:r w:rsidRPr="00A30678">
        <w:rPr>
          <w:noProof/>
          <w:sz w:val="21"/>
          <w:szCs w:val="21"/>
          <w:lang w:eastAsia="en-AU"/>
        </w:rPr>
        <w:drawing>
          <wp:anchor distT="0" distB="0" distL="114300" distR="114300" simplePos="0" relativeHeight="251680768" behindDoc="0" locked="0" layoutInCell="1" allowOverlap="1" wp14:anchorId="0C347831" wp14:editId="53F3AE24">
            <wp:simplePos x="0" y="0"/>
            <wp:positionH relativeFrom="column">
              <wp:posOffset>2568575</wp:posOffset>
            </wp:positionH>
            <wp:positionV relativeFrom="paragraph">
              <wp:posOffset>153036</wp:posOffset>
            </wp:positionV>
            <wp:extent cx="1019175" cy="590550"/>
            <wp:effectExtent l="0" t="0" r="9525" b="0"/>
            <wp:wrapNone/>
            <wp:docPr id="21" name="Picture 21"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Giving Australia research and sector partners"/>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19175" cy="590550"/>
                    </a:xfrm>
                    <a:prstGeom prst="rect">
                      <a:avLst/>
                    </a:prstGeom>
                  </pic:spPr>
                </pic:pic>
              </a:graphicData>
            </a:graphic>
            <wp14:sizeRelH relativeFrom="page">
              <wp14:pctWidth>0</wp14:pctWidth>
            </wp14:sizeRelH>
            <wp14:sizeRelV relativeFrom="page">
              <wp14:pctHeight>0</wp14:pctHeight>
            </wp14:sizeRelV>
          </wp:anchor>
        </w:drawing>
      </w:r>
      <w:r w:rsidRPr="00A30678">
        <w:rPr>
          <w:noProof/>
          <w:sz w:val="21"/>
          <w:szCs w:val="21"/>
          <w:lang w:eastAsia="en-AU"/>
        </w:rPr>
        <w:drawing>
          <wp:anchor distT="0" distB="0" distL="114300" distR="114300" simplePos="0" relativeHeight="251671552" behindDoc="0" locked="0" layoutInCell="1" allowOverlap="1" wp14:anchorId="510ED7F4" wp14:editId="417F8661">
            <wp:simplePos x="0" y="0"/>
            <wp:positionH relativeFrom="margin">
              <wp:posOffset>473075</wp:posOffset>
            </wp:positionH>
            <wp:positionV relativeFrom="paragraph">
              <wp:posOffset>153035</wp:posOffset>
            </wp:positionV>
            <wp:extent cx="5676900" cy="1204190"/>
            <wp:effectExtent l="0" t="0" r="0" b="0"/>
            <wp:wrapNone/>
            <wp:docPr id="5" name="Picture 5"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Giving Australia research and sector part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Business\staff\Shared\Centre of Philanthropy\Working Files\Research Grants and Projects\4. Philanthropy, Fundraising\Giving Australia\2015\Fact sheets\logos for factsheet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76900" cy="120419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A30678" w:rsidRPr="00A30678" w:rsidSect="00F61582">
      <w:type w:val="continuous"/>
      <w:pgSz w:w="11906" w:h="16838" w:code="9"/>
      <w:pgMar w:top="1701" w:right="680" w:bottom="737" w:left="680" w:header="709" w:footer="454" w:gutter="0"/>
      <w:cols w:space="39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153" w:rsidRDefault="00DA1153" w:rsidP="006423B4">
      <w:pPr>
        <w:spacing w:after="0" w:line="240" w:lineRule="auto"/>
      </w:pPr>
      <w:r>
        <w:separator/>
      </w:r>
    </w:p>
  </w:endnote>
  <w:endnote w:type="continuationSeparator" w:id="0">
    <w:p w:rsidR="00DA1153" w:rsidRDefault="00DA1153"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4A2" w:rsidRDefault="008644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4A2" w:rsidRDefault="008644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4A2" w:rsidRDefault="008644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153" w:rsidRDefault="00DA1153" w:rsidP="006423B4">
      <w:pPr>
        <w:spacing w:after="0" w:line="240" w:lineRule="auto"/>
      </w:pPr>
      <w:r>
        <w:separator/>
      </w:r>
    </w:p>
  </w:footnote>
  <w:footnote w:type="continuationSeparator" w:id="0">
    <w:p w:rsidR="00DA1153" w:rsidRDefault="00DA1153" w:rsidP="006423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94A" w:rsidRDefault="0030694A">
    <w:pPr>
      <w:pStyle w:val="Header"/>
    </w:pPr>
    <w:r>
      <w:rPr>
        <w:noProof/>
        <w:lang w:eastAsia="en-AU"/>
      </w:rPr>
      <w:drawing>
        <wp:anchor distT="0" distB="0" distL="114300" distR="114300" simplePos="0" relativeHeight="251661312" behindDoc="1" locked="0" layoutInCell="1" allowOverlap="1" wp14:anchorId="783888B9" wp14:editId="2BE214D3">
          <wp:simplePos x="0" y="0"/>
          <wp:positionH relativeFrom="column">
            <wp:posOffset>-85725</wp:posOffset>
          </wp:positionH>
          <wp:positionV relativeFrom="paragraph">
            <wp:posOffset>-305435</wp:posOffset>
          </wp:positionV>
          <wp:extent cx="7570470" cy="809897"/>
          <wp:effectExtent l="0" t="0" r="0" b="9525"/>
          <wp:wrapNone/>
          <wp:docPr id="9" name="Picture 2" descr="Decorative" title="Giving Australia pa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ving Australia FACT SHEET_FOLLOWER.png"/>
                  <pic:cNvPicPr/>
                </pic:nvPicPr>
                <pic:blipFill>
                  <a:blip r:embed="rId1"/>
                  <a:srcRect t="10145"/>
                  <a:stretch>
                    <a:fillRect/>
                  </a:stretch>
                </pic:blipFill>
                <pic:spPr>
                  <a:xfrm>
                    <a:off x="0" y="0"/>
                    <a:ext cx="7570470" cy="809897"/>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4A2" w:rsidRDefault="008644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11C" w:rsidRDefault="00DC5201" w:rsidP="00EA178D">
    <w:pPr>
      <w:pStyle w:val="Header"/>
      <w:tabs>
        <w:tab w:val="clear" w:pos="4513"/>
        <w:tab w:val="clear" w:pos="9026"/>
        <w:tab w:val="left" w:pos="5820"/>
      </w:tabs>
    </w:pPr>
    <w:r>
      <w:rPr>
        <w:noProof/>
        <w:lang w:eastAsia="en-AU"/>
      </w:rPr>
      <w:drawing>
        <wp:anchor distT="0" distB="0" distL="114300" distR="114300" simplePos="0" relativeHeight="251659264" behindDoc="0" locked="0" layoutInCell="1" allowOverlap="1" wp14:anchorId="1B45A09F" wp14:editId="592FAF8E">
          <wp:simplePos x="0" y="0"/>
          <wp:positionH relativeFrom="column">
            <wp:posOffset>-647700</wp:posOffset>
          </wp:positionH>
          <wp:positionV relativeFrom="paragraph">
            <wp:posOffset>-628650</wp:posOffset>
          </wp:positionV>
          <wp:extent cx="7649748" cy="2600325"/>
          <wp:effectExtent l="0" t="0" r="8890" b="0"/>
          <wp:wrapNone/>
          <wp:docPr id="10" name="Picture 10" descr="Philanthropy Overview" title="Giving Australia page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49748" cy="2600325"/>
                  </a:xfrm>
                  <a:prstGeom prst="rect">
                    <a:avLst/>
                  </a:prstGeom>
                </pic:spPr>
              </pic:pic>
            </a:graphicData>
          </a:graphic>
          <wp14:sizeRelH relativeFrom="page">
            <wp14:pctWidth>0</wp14:pctWidth>
          </wp14:sizeRelH>
          <wp14:sizeRelV relativeFrom="page">
            <wp14:pctHeight>0</wp14:pctHeight>
          </wp14:sizeRelV>
        </wp:anchor>
      </w:drawing>
    </w:r>
    <w:r w:rsidR="00E76B4E">
      <w:rPr>
        <w:noProof/>
        <w:lang w:eastAsia="en-AU"/>
      </w:rPr>
      <w:drawing>
        <wp:anchor distT="0" distB="0" distL="114300" distR="114300" simplePos="0" relativeHeight="251658240" behindDoc="0" locked="0" layoutInCell="1" allowOverlap="1" wp14:anchorId="156EB27B" wp14:editId="52C1CEA2">
          <wp:simplePos x="0" y="0"/>
          <wp:positionH relativeFrom="column">
            <wp:posOffset>3876040</wp:posOffset>
          </wp:positionH>
          <wp:positionV relativeFrom="paragraph">
            <wp:posOffset>949960</wp:posOffset>
          </wp:positionV>
          <wp:extent cx="518704" cy="208674"/>
          <wp:effectExtent l="0" t="0" r="0" b="1270"/>
          <wp:wrapNone/>
          <wp:docPr id="11" name="Picture 11" descr="Decorative" title="Heade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518704" cy="208674"/>
                  </a:xfrm>
                  <a:prstGeom prst="rect">
                    <a:avLst/>
                  </a:prstGeom>
                </pic:spPr>
              </pic:pic>
            </a:graphicData>
          </a:graphic>
          <wp14:sizeRelH relativeFrom="page">
            <wp14:pctWidth>0</wp14:pctWidth>
          </wp14:sizeRelH>
          <wp14:sizeRelV relativeFrom="page">
            <wp14:pctHeight>0</wp14:pctHeight>
          </wp14:sizeRelV>
        </wp:anchor>
      </w:drawing>
    </w:r>
    <w:r w:rsidR="00EA178D">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94A" w:rsidRDefault="00A30678">
    <w:pPr>
      <w:pStyle w:val="Header"/>
    </w:pPr>
    <w:r>
      <w:rPr>
        <w:noProof/>
        <w:lang w:eastAsia="en-AU"/>
      </w:rPr>
      <w:drawing>
        <wp:anchor distT="0" distB="0" distL="114300" distR="114300" simplePos="0" relativeHeight="251665408" behindDoc="0" locked="0" layoutInCell="1" allowOverlap="1" wp14:anchorId="05CED0A3" wp14:editId="6A26A141">
          <wp:simplePos x="0" y="0"/>
          <wp:positionH relativeFrom="page">
            <wp:posOffset>12065</wp:posOffset>
          </wp:positionH>
          <wp:positionV relativeFrom="paragraph">
            <wp:posOffset>-520667</wp:posOffset>
          </wp:positionV>
          <wp:extent cx="7577844" cy="1107440"/>
          <wp:effectExtent l="0" t="0" r="4445" b="0"/>
          <wp:wrapNone/>
          <wp:docPr id="19" name="Picture 19" descr="Decorative text and image" title="Page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7844" cy="11074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9398B"/>
    <w:multiLevelType w:val="hybridMultilevel"/>
    <w:tmpl w:val="8C5C2A50"/>
    <w:lvl w:ilvl="0" w:tplc="A1248F50">
      <w:start w:val="1"/>
      <w:numFmt w:val="bullet"/>
      <w:lvlText w:val=""/>
      <w:lvlJc w:val="left"/>
      <w:pPr>
        <w:ind w:left="1077" w:hanging="360"/>
      </w:pPr>
      <w:rPr>
        <w:rFonts w:ascii="Wingdings" w:hAnsi="Wingdings" w:hint="default"/>
        <w:color w:val="FFEFC1" w:themeColor="accent5" w:themeTint="33"/>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
    <w:nsid w:val="124762F5"/>
    <w:multiLevelType w:val="hybridMultilevel"/>
    <w:tmpl w:val="1CCAB412"/>
    <w:lvl w:ilvl="0" w:tplc="CFFA5E90">
      <w:start w:val="1"/>
      <w:numFmt w:val="bullet"/>
      <w:lvlText w:val=""/>
      <w:lvlJc w:val="left"/>
      <w:pPr>
        <w:ind w:left="720" w:hanging="360"/>
      </w:pPr>
      <w:rPr>
        <w:rFonts w:ascii="Wingdings" w:hAnsi="Wingdings" w:hint="default"/>
        <w:color w:val="00999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D4D436D"/>
    <w:multiLevelType w:val="hybridMultilevel"/>
    <w:tmpl w:val="E1C25E24"/>
    <w:lvl w:ilvl="0" w:tplc="45B242F6">
      <w:start w:val="1"/>
      <w:numFmt w:val="bullet"/>
      <w:lvlText w:val=""/>
      <w:lvlJc w:val="left"/>
      <w:pPr>
        <w:ind w:left="720" w:hanging="360"/>
      </w:pPr>
      <w:rPr>
        <w:rFonts w:ascii="Wingdings" w:hAnsi="Wingdings" w:hint="default"/>
        <w:color w:val="EF413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66C0D1E"/>
    <w:multiLevelType w:val="hybridMultilevel"/>
    <w:tmpl w:val="F9D4FB58"/>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4286DCA"/>
    <w:multiLevelType w:val="hybridMultilevel"/>
    <w:tmpl w:val="78C47B80"/>
    <w:lvl w:ilvl="0" w:tplc="45B242F6">
      <w:start w:val="1"/>
      <w:numFmt w:val="bullet"/>
      <w:lvlText w:val=""/>
      <w:lvlJc w:val="left"/>
      <w:pPr>
        <w:ind w:left="720" w:hanging="360"/>
      </w:pPr>
      <w:rPr>
        <w:rFonts w:ascii="Wingdings" w:hAnsi="Wingdings" w:hint="default"/>
        <w:color w:val="EF413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C0E0C77"/>
    <w:multiLevelType w:val="hybridMultilevel"/>
    <w:tmpl w:val="BBF2AF9A"/>
    <w:lvl w:ilvl="0" w:tplc="2138A53E">
      <w:start w:val="1"/>
      <w:numFmt w:val="bullet"/>
      <w:lvlText w:val=""/>
      <w:lvlJc w:val="left"/>
      <w:pPr>
        <w:ind w:left="720" w:hanging="360"/>
      </w:pPr>
      <w:rPr>
        <w:rFonts w:ascii="Wingdings" w:hAnsi="Wingdings" w:hint="default"/>
        <w:color w:val="6D0E0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35705DF"/>
    <w:multiLevelType w:val="hybridMultilevel"/>
    <w:tmpl w:val="BA8C3A80"/>
    <w:lvl w:ilvl="0" w:tplc="2C0AE368">
      <w:start w:val="1"/>
      <w:numFmt w:val="bullet"/>
      <w:pStyle w:val="GivingReportBulletlevel1"/>
      <w:lvlText w:val=""/>
      <w:lvlJc w:val="left"/>
      <w:pPr>
        <w:ind w:left="360" w:hanging="360"/>
      </w:pPr>
      <w:rPr>
        <w:rFonts w:ascii="Wingdings" w:hAnsi="Wingdings" w:hint="default"/>
        <w:color w:val="595959" w:themeColor="text1" w:themeTint="A6"/>
      </w:rPr>
    </w:lvl>
    <w:lvl w:ilvl="1" w:tplc="FF503236">
      <w:start w:val="1"/>
      <w:numFmt w:val="bullet"/>
      <w:pStyle w:val="GivingReportBulletlevel2"/>
      <w:lvlText w:val=""/>
      <w:lvlJc w:val="left"/>
      <w:pPr>
        <w:ind w:left="1080" w:hanging="360"/>
      </w:pPr>
      <w:rPr>
        <w:rFonts w:ascii="Wingdings" w:hAnsi="Wingdings" w:hint="default"/>
        <w:color w:val="FFB47D" w:themeColor="accent4" w:themeTint="99"/>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58B42BE8"/>
    <w:multiLevelType w:val="hybridMultilevel"/>
    <w:tmpl w:val="269693E0"/>
    <w:lvl w:ilvl="0" w:tplc="2138A53E">
      <w:start w:val="1"/>
      <w:numFmt w:val="bullet"/>
      <w:lvlText w:val=""/>
      <w:lvlJc w:val="left"/>
      <w:pPr>
        <w:ind w:left="720" w:hanging="360"/>
      </w:pPr>
      <w:rPr>
        <w:rFonts w:ascii="Wingdings" w:hAnsi="Wingdings" w:hint="default"/>
        <w:color w:val="6D0E0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9787A5E"/>
    <w:multiLevelType w:val="hybridMultilevel"/>
    <w:tmpl w:val="7DD6DB54"/>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1"/>
  </w:num>
  <w:num w:numId="5">
    <w:abstractNumId w:val="2"/>
  </w:num>
  <w:num w:numId="6">
    <w:abstractNumId w:val="4"/>
  </w:num>
  <w:num w:numId="7">
    <w:abstractNumId w:val="0"/>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efaultTableStyle w:val="ListTable6Colorful-Accent11"/>
  <w:evenAndOddHeaders/>
  <w:drawingGridHorizontalSpacing w:val="108"/>
  <w:drawingGridVerticalSpacing w:val="181"/>
  <w:displayHorizontalDrawingGridEvery w:val="2"/>
  <w:doNotUseMarginsForDrawingGridOrigin/>
  <w:drawingGridHorizontalOrigin w:val="1021"/>
  <w:drawingGridVerticalOrigin w:val="1701"/>
  <w:characterSpacingControl w:val="doNotCompress"/>
  <w:hdrShapeDefaults>
    <o:shapedefaults v:ext="edit" spidmax="28673">
      <o:colormru v:ext="edit" colors="#e5dfe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3B4"/>
    <w:rsid w:val="00000FD8"/>
    <w:rsid w:val="000057B5"/>
    <w:rsid w:val="000105D5"/>
    <w:rsid w:val="00021E46"/>
    <w:rsid w:val="00024768"/>
    <w:rsid w:val="000549A4"/>
    <w:rsid w:val="000555EC"/>
    <w:rsid w:val="00056C3D"/>
    <w:rsid w:val="00066B37"/>
    <w:rsid w:val="00085529"/>
    <w:rsid w:val="000943AE"/>
    <w:rsid w:val="000A5120"/>
    <w:rsid w:val="000A7BC5"/>
    <w:rsid w:val="000B5EA2"/>
    <w:rsid w:val="000B7668"/>
    <w:rsid w:val="000D1AD6"/>
    <w:rsid w:val="000D306F"/>
    <w:rsid w:val="000D3D98"/>
    <w:rsid w:val="000E07C8"/>
    <w:rsid w:val="000E1BAB"/>
    <w:rsid w:val="000E3A6F"/>
    <w:rsid w:val="0011382F"/>
    <w:rsid w:val="00124586"/>
    <w:rsid w:val="00136F8D"/>
    <w:rsid w:val="00140700"/>
    <w:rsid w:val="0014093D"/>
    <w:rsid w:val="00146AF0"/>
    <w:rsid w:val="001B711C"/>
    <w:rsid w:val="001D091A"/>
    <w:rsid w:val="001D3004"/>
    <w:rsid w:val="001F2422"/>
    <w:rsid w:val="001F3DC8"/>
    <w:rsid w:val="002020AB"/>
    <w:rsid w:val="00225C7B"/>
    <w:rsid w:val="00250F6D"/>
    <w:rsid w:val="00271ABC"/>
    <w:rsid w:val="00291267"/>
    <w:rsid w:val="002C563A"/>
    <w:rsid w:val="002C73FD"/>
    <w:rsid w:val="002D3E26"/>
    <w:rsid w:val="002D6ABE"/>
    <w:rsid w:val="0030694A"/>
    <w:rsid w:val="00347CE2"/>
    <w:rsid w:val="00370C68"/>
    <w:rsid w:val="003723AF"/>
    <w:rsid w:val="0039451E"/>
    <w:rsid w:val="003B1953"/>
    <w:rsid w:val="003B6FD5"/>
    <w:rsid w:val="003D29F6"/>
    <w:rsid w:val="003F29BB"/>
    <w:rsid w:val="00404445"/>
    <w:rsid w:val="00421F52"/>
    <w:rsid w:val="0043070A"/>
    <w:rsid w:val="004471B1"/>
    <w:rsid w:val="00447D89"/>
    <w:rsid w:val="004530D9"/>
    <w:rsid w:val="00466384"/>
    <w:rsid w:val="00477513"/>
    <w:rsid w:val="0049506A"/>
    <w:rsid w:val="004A1BD5"/>
    <w:rsid w:val="004A5874"/>
    <w:rsid w:val="004A5AAA"/>
    <w:rsid w:val="004B00CA"/>
    <w:rsid w:val="004E5DEA"/>
    <w:rsid w:val="0051201F"/>
    <w:rsid w:val="005374CD"/>
    <w:rsid w:val="005654BA"/>
    <w:rsid w:val="005A35FF"/>
    <w:rsid w:val="005B3FF3"/>
    <w:rsid w:val="005C2F93"/>
    <w:rsid w:val="005C41D1"/>
    <w:rsid w:val="005D121E"/>
    <w:rsid w:val="005D51C6"/>
    <w:rsid w:val="005E39B7"/>
    <w:rsid w:val="006359F6"/>
    <w:rsid w:val="006423B4"/>
    <w:rsid w:val="0064294D"/>
    <w:rsid w:val="00650AB8"/>
    <w:rsid w:val="00664070"/>
    <w:rsid w:val="00670CA7"/>
    <w:rsid w:val="006977B6"/>
    <w:rsid w:val="006C1B8A"/>
    <w:rsid w:val="006D3094"/>
    <w:rsid w:val="006F36C2"/>
    <w:rsid w:val="00702FCD"/>
    <w:rsid w:val="007054A5"/>
    <w:rsid w:val="00705E5A"/>
    <w:rsid w:val="007109BC"/>
    <w:rsid w:val="00721D1A"/>
    <w:rsid w:val="0072357F"/>
    <w:rsid w:val="00723BD3"/>
    <w:rsid w:val="00725FC9"/>
    <w:rsid w:val="00727A61"/>
    <w:rsid w:val="00730D0D"/>
    <w:rsid w:val="007362A3"/>
    <w:rsid w:val="00756A80"/>
    <w:rsid w:val="00760569"/>
    <w:rsid w:val="0076331B"/>
    <w:rsid w:val="00771376"/>
    <w:rsid w:val="00773CBC"/>
    <w:rsid w:val="00774DF4"/>
    <w:rsid w:val="00776DCE"/>
    <w:rsid w:val="00792770"/>
    <w:rsid w:val="007D03F9"/>
    <w:rsid w:val="007D0A60"/>
    <w:rsid w:val="007D501B"/>
    <w:rsid w:val="00826AF6"/>
    <w:rsid w:val="00833F91"/>
    <w:rsid w:val="00837061"/>
    <w:rsid w:val="008371C4"/>
    <w:rsid w:val="00843DC3"/>
    <w:rsid w:val="00844E47"/>
    <w:rsid w:val="008644A2"/>
    <w:rsid w:val="00871694"/>
    <w:rsid w:val="00876CC1"/>
    <w:rsid w:val="00895206"/>
    <w:rsid w:val="00896DF8"/>
    <w:rsid w:val="008B1F93"/>
    <w:rsid w:val="008C0566"/>
    <w:rsid w:val="008D4340"/>
    <w:rsid w:val="008D43A8"/>
    <w:rsid w:val="008E5A6B"/>
    <w:rsid w:val="008F31AE"/>
    <w:rsid w:val="008F79C6"/>
    <w:rsid w:val="00905956"/>
    <w:rsid w:val="00920004"/>
    <w:rsid w:val="0092396F"/>
    <w:rsid w:val="00927411"/>
    <w:rsid w:val="00930363"/>
    <w:rsid w:val="00944C42"/>
    <w:rsid w:val="00954596"/>
    <w:rsid w:val="00971A14"/>
    <w:rsid w:val="009761F3"/>
    <w:rsid w:val="009B2DF3"/>
    <w:rsid w:val="009C55DE"/>
    <w:rsid w:val="009C7BB4"/>
    <w:rsid w:val="009E7E52"/>
    <w:rsid w:val="00A07202"/>
    <w:rsid w:val="00A10448"/>
    <w:rsid w:val="00A14E52"/>
    <w:rsid w:val="00A30678"/>
    <w:rsid w:val="00A325D4"/>
    <w:rsid w:val="00A417D4"/>
    <w:rsid w:val="00A51F14"/>
    <w:rsid w:val="00A53073"/>
    <w:rsid w:val="00A64D4F"/>
    <w:rsid w:val="00A773B0"/>
    <w:rsid w:val="00A96C51"/>
    <w:rsid w:val="00AA5C5F"/>
    <w:rsid w:val="00AE0182"/>
    <w:rsid w:val="00AE2FAA"/>
    <w:rsid w:val="00AF5A7A"/>
    <w:rsid w:val="00B03410"/>
    <w:rsid w:val="00B1533A"/>
    <w:rsid w:val="00B2696C"/>
    <w:rsid w:val="00B324A7"/>
    <w:rsid w:val="00B40735"/>
    <w:rsid w:val="00B50E13"/>
    <w:rsid w:val="00B668CE"/>
    <w:rsid w:val="00B67CB7"/>
    <w:rsid w:val="00BA219D"/>
    <w:rsid w:val="00BA6FFB"/>
    <w:rsid w:val="00BB578C"/>
    <w:rsid w:val="00BC69AC"/>
    <w:rsid w:val="00BE1AED"/>
    <w:rsid w:val="00BF5310"/>
    <w:rsid w:val="00C001B7"/>
    <w:rsid w:val="00C00327"/>
    <w:rsid w:val="00C044B4"/>
    <w:rsid w:val="00C25C19"/>
    <w:rsid w:val="00C32EE2"/>
    <w:rsid w:val="00C45FA0"/>
    <w:rsid w:val="00C61D1D"/>
    <w:rsid w:val="00C6414D"/>
    <w:rsid w:val="00C77BC0"/>
    <w:rsid w:val="00C9238A"/>
    <w:rsid w:val="00CA28C0"/>
    <w:rsid w:val="00CB41DE"/>
    <w:rsid w:val="00CD4E05"/>
    <w:rsid w:val="00CD773C"/>
    <w:rsid w:val="00CE036D"/>
    <w:rsid w:val="00D11A5B"/>
    <w:rsid w:val="00D25750"/>
    <w:rsid w:val="00D27676"/>
    <w:rsid w:val="00D9609C"/>
    <w:rsid w:val="00DA1153"/>
    <w:rsid w:val="00DB56DD"/>
    <w:rsid w:val="00DC4B9B"/>
    <w:rsid w:val="00DC5201"/>
    <w:rsid w:val="00DD3D5C"/>
    <w:rsid w:val="00DF7F64"/>
    <w:rsid w:val="00E00C6F"/>
    <w:rsid w:val="00E01A73"/>
    <w:rsid w:val="00E61AAF"/>
    <w:rsid w:val="00E62862"/>
    <w:rsid w:val="00E65F5E"/>
    <w:rsid w:val="00E70FA1"/>
    <w:rsid w:val="00E76B4E"/>
    <w:rsid w:val="00E802C0"/>
    <w:rsid w:val="00E91618"/>
    <w:rsid w:val="00EA178D"/>
    <w:rsid w:val="00EE7249"/>
    <w:rsid w:val="00EF7AE4"/>
    <w:rsid w:val="00F01C80"/>
    <w:rsid w:val="00F04755"/>
    <w:rsid w:val="00F22174"/>
    <w:rsid w:val="00F24B25"/>
    <w:rsid w:val="00F24E80"/>
    <w:rsid w:val="00F35713"/>
    <w:rsid w:val="00F46116"/>
    <w:rsid w:val="00F57A4E"/>
    <w:rsid w:val="00F61582"/>
    <w:rsid w:val="00F7002F"/>
    <w:rsid w:val="00F70389"/>
    <w:rsid w:val="00FA05A5"/>
    <w:rsid w:val="00FB7D5C"/>
    <w:rsid w:val="00FD00C7"/>
    <w:rsid w:val="00FD26DB"/>
    <w:rsid w:val="00FD7F46"/>
    <w:rsid w:val="00FF66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3">
      <o:colormru v:ext="edit" colors="#e5dfe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rPr>
      <w:rFonts w:ascii="Calibri Light" w:hAnsi="Calibri Light"/>
      <w:color w:val="404040" w:themeColor="text1" w:themeTint="BF"/>
    </w:rPr>
  </w:style>
  <w:style w:type="paragraph" w:styleId="Heading1">
    <w:name w:val="heading 1"/>
    <w:basedOn w:val="Normal"/>
    <w:next w:val="Normal"/>
    <w:link w:val="Heading1Char"/>
    <w:uiPriority w:val="9"/>
    <w:qFormat/>
    <w:rsid w:val="00927411"/>
    <w:pPr>
      <w:keepNext/>
      <w:keepLines/>
      <w:spacing w:after="120"/>
      <w:outlineLvl w:val="0"/>
    </w:pPr>
    <w:rPr>
      <w:rFonts w:ascii="Century Gothic" w:eastAsiaTheme="majorEastAsia" w:hAnsi="Century Gothic" w:cstheme="majorBidi"/>
      <w:bCs/>
      <w:color w:val="EF4136"/>
      <w:sz w:val="28"/>
      <w:szCs w:val="28"/>
    </w:rPr>
  </w:style>
  <w:style w:type="paragraph" w:styleId="Heading2">
    <w:name w:val="heading 2"/>
    <w:basedOn w:val="Normal"/>
    <w:next w:val="Normal"/>
    <w:link w:val="Heading2Char"/>
    <w:uiPriority w:val="9"/>
    <w:unhideWhenUsed/>
    <w:qFormat/>
    <w:rsid w:val="00927411"/>
    <w:pPr>
      <w:keepNext/>
      <w:keepLines/>
      <w:spacing w:after="0"/>
      <w:outlineLvl w:val="1"/>
    </w:pPr>
    <w:rPr>
      <w:rFonts w:ascii="Century Gothic" w:eastAsiaTheme="majorEastAsia" w:hAnsi="Century Gothic" w:cstheme="majorBidi"/>
      <w:bCs/>
      <w:color w:val="EF4136"/>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heme="majorEastAsia" w:hAnsi="Century Gothic" w:cstheme="majorBidi"/>
      <w:bCs/>
      <w:color w:val="595959" w:themeColor="text1" w:themeTint="A6"/>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heme="majorEastAsia" w:hAnsi="Century Gothic" w:cstheme="majorBidi"/>
      <w:b/>
      <w:bCs/>
      <w:iCs/>
      <w:color w:val="595959" w:themeColor="text1" w:themeTint="A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themeColor="background1"/>
      <w:sz w:val="56"/>
      <w:szCs w:val="56"/>
    </w:rPr>
  </w:style>
  <w:style w:type="paragraph" w:customStyle="1" w:styleId="GivingReportCoverSubtitle">
    <w:name w:val="Giving Report Cover Subtitle"/>
    <w:basedOn w:val="Normal"/>
    <w:qFormat/>
    <w:rsid w:val="006423B4"/>
    <w:rPr>
      <w:color w:val="FFFFFF" w:themeColor="background1"/>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themeColor="text1" w:themeTint="A6"/>
    </w:rPr>
  </w:style>
  <w:style w:type="table" w:styleId="TableGrid">
    <w:name w:val="Table Grid"/>
    <w:basedOn w:val="TableNormal"/>
    <w:uiPriority w:val="59"/>
    <w:rsid w:val="00F22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27411"/>
    <w:rPr>
      <w:rFonts w:ascii="Century Gothic" w:eastAsiaTheme="majorEastAsia" w:hAnsi="Century Gothic" w:cstheme="majorBidi"/>
      <w:bCs/>
      <w:color w:val="EF4136"/>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qFormat/>
    <w:rsid w:val="004E5DEA"/>
    <w:pPr>
      <w:numPr>
        <w:ilvl w:val="1"/>
      </w:numPr>
    </w:pPr>
  </w:style>
  <w:style w:type="character" w:customStyle="1" w:styleId="Heading4Char">
    <w:name w:val="Heading 4 Char"/>
    <w:basedOn w:val="DefaultParagraphFont"/>
    <w:link w:val="Heading4"/>
    <w:uiPriority w:val="9"/>
    <w:rsid w:val="0014093D"/>
    <w:rPr>
      <w:rFonts w:ascii="Century Gothic" w:eastAsiaTheme="majorEastAsia" w:hAnsi="Century Gothic" w:cstheme="majorBidi"/>
      <w:b/>
      <w:bCs/>
      <w:iCs/>
      <w:color w:val="595959" w:themeColor="text1" w:themeTint="A6"/>
      <w:sz w:val="20"/>
    </w:rPr>
  </w:style>
  <w:style w:type="character" w:customStyle="1" w:styleId="Heading2Char">
    <w:name w:val="Heading 2 Char"/>
    <w:basedOn w:val="DefaultParagraphFont"/>
    <w:link w:val="Heading2"/>
    <w:uiPriority w:val="9"/>
    <w:rsid w:val="00927411"/>
    <w:rPr>
      <w:rFonts w:ascii="Century Gothic" w:eastAsiaTheme="majorEastAsia" w:hAnsi="Century Gothic" w:cstheme="majorBidi"/>
      <w:bCs/>
      <w:color w:val="EF4136"/>
      <w:szCs w:val="26"/>
    </w:rPr>
  </w:style>
  <w:style w:type="character" w:customStyle="1" w:styleId="Heading3Char">
    <w:name w:val="Heading 3 Char"/>
    <w:basedOn w:val="DefaultParagraphFont"/>
    <w:link w:val="Heading3"/>
    <w:uiPriority w:val="9"/>
    <w:rsid w:val="001B711C"/>
    <w:rPr>
      <w:rFonts w:ascii="Century Gothic" w:eastAsiaTheme="majorEastAsia" w:hAnsi="Century Gothic" w:cstheme="majorBidi"/>
      <w:bCs/>
      <w:color w:val="595959" w:themeColor="text1" w:themeTint="A6"/>
      <w:sz w:val="28"/>
    </w:rPr>
  </w:style>
  <w:style w:type="table" w:customStyle="1" w:styleId="GivingReportTable">
    <w:name w:val="Giving Report Table"/>
    <w:basedOn w:val="TableNormal"/>
    <w:uiPriority w:val="99"/>
    <w:qFormat/>
    <w:rsid w:val="00776DCE"/>
    <w:pPr>
      <w:spacing w:after="0" w:line="240" w:lineRule="auto"/>
    </w:pPr>
    <w:tblPr>
      <w:tblStyleRowBandSize w:val="1"/>
      <w:tblBorders>
        <w:insideH w:val="dashSmallGap" w:sz="4" w:space="0" w:color="595959" w:themeColor="text1" w:themeTint="A6"/>
      </w:tblBorders>
      <w:tblCellMar>
        <w:top w:w="57" w:type="dxa"/>
        <w:bottom w:w="57"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FFE6D3"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themeColor="text1" w:themeTint="A6"/>
      <w:sz w:val="18"/>
    </w:rPr>
  </w:style>
  <w:style w:type="paragraph" w:customStyle="1" w:styleId="GivingReportFigureTitle">
    <w:name w:val="Giving Report Figure Title"/>
    <w:basedOn w:val="Normal"/>
    <w:qFormat/>
    <w:rsid w:val="004471B1"/>
    <w:rPr>
      <w:color w:val="7F3F98"/>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basedOn w:val="DefaultParagraphFont"/>
    <w:uiPriority w:val="99"/>
    <w:unhideWhenUsed/>
    <w:rsid w:val="00927411"/>
    <w:rPr>
      <w:color w:val="EF4136"/>
      <w:u w:val="single"/>
    </w:rPr>
  </w:style>
  <w:style w:type="table" w:styleId="LightList-Accent1">
    <w:name w:val="Light List Accent 1"/>
    <w:basedOn w:val="TableNormal"/>
    <w:uiPriority w:val="61"/>
    <w:rsid w:val="00BA219D"/>
    <w:pPr>
      <w:spacing w:after="0" w:line="240" w:lineRule="auto"/>
    </w:pPr>
    <w:rPr>
      <w:rFonts w:eastAsiaTheme="minorEastAsia"/>
      <w:lang w:val="en-US"/>
    </w:rPr>
    <w:tblPr>
      <w:tblStyleRowBandSize w:val="1"/>
      <w:tblStyleColBandSize w:val="1"/>
      <w:tblBorders>
        <w:top w:val="single" w:sz="8" w:space="0" w:color="E84C22" w:themeColor="accent1"/>
        <w:left w:val="single" w:sz="8" w:space="0" w:color="E84C22" w:themeColor="accent1"/>
        <w:bottom w:val="single" w:sz="8" w:space="0" w:color="E84C22" w:themeColor="accent1"/>
        <w:right w:val="single" w:sz="8" w:space="0" w:color="E84C22" w:themeColor="accent1"/>
      </w:tblBorders>
    </w:tblPr>
    <w:tblStylePr w:type="firstRow">
      <w:pPr>
        <w:spacing w:before="0" w:after="0" w:line="240" w:lineRule="auto"/>
      </w:pPr>
      <w:rPr>
        <w:b/>
        <w:bCs/>
        <w:color w:val="FFFFFF" w:themeColor="background1"/>
      </w:rPr>
      <w:tblPr/>
      <w:tcPr>
        <w:shd w:val="clear" w:color="auto" w:fill="E84C22" w:themeFill="accent1"/>
      </w:tcPr>
    </w:tblStylePr>
    <w:tblStylePr w:type="lastRow">
      <w:pPr>
        <w:spacing w:before="0" w:after="0" w:line="240" w:lineRule="auto"/>
      </w:pPr>
      <w:rPr>
        <w:b/>
        <w:bCs/>
      </w:rPr>
      <w:tblPr/>
      <w:tcPr>
        <w:tcBorders>
          <w:top w:val="double" w:sz="6" w:space="0" w:color="E84C22" w:themeColor="accent1"/>
          <w:left w:val="single" w:sz="8" w:space="0" w:color="E84C22" w:themeColor="accent1"/>
          <w:bottom w:val="single" w:sz="8" w:space="0" w:color="E84C22" w:themeColor="accent1"/>
          <w:right w:val="single" w:sz="8" w:space="0" w:color="E84C22" w:themeColor="accent1"/>
        </w:tcBorders>
      </w:tcPr>
    </w:tblStylePr>
    <w:tblStylePr w:type="firstCol">
      <w:rPr>
        <w:b/>
        <w:bCs/>
      </w:rPr>
    </w:tblStylePr>
    <w:tblStylePr w:type="lastCol">
      <w:rPr>
        <w:b/>
        <w:bCs/>
      </w:rPr>
    </w:tblStylePr>
    <w:tblStylePr w:type="band1Vert">
      <w:tblPr/>
      <w:tcPr>
        <w:tcBorders>
          <w:top w:val="single" w:sz="8" w:space="0" w:color="E84C22" w:themeColor="accent1"/>
          <w:left w:val="single" w:sz="8" w:space="0" w:color="E84C22" w:themeColor="accent1"/>
          <w:bottom w:val="single" w:sz="8" w:space="0" w:color="E84C22" w:themeColor="accent1"/>
          <w:right w:val="single" w:sz="8" w:space="0" w:color="E84C22" w:themeColor="accent1"/>
        </w:tcBorders>
      </w:tcPr>
    </w:tblStylePr>
    <w:tblStylePr w:type="band1Horz">
      <w:tblPr/>
      <w:tcPr>
        <w:tcBorders>
          <w:top w:val="single" w:sz="8" w:space="0" w:color="E84C22" w:themeColor="accent1"/>
          <w:left w:val="single" w:sz="8" w:space="0" w:color="E84C22" w:themeColor="accent1"/>
          <w:bottom w:val="single" w:sz="8" w:space="0" w:color="E84C22" w:themeColor="accent1"/>
          <w:right w:val="single" w:sz="8" w:space="0" w:color="E84C22" w:themeColor="accent1"/>
        </w:tcBorders>
      </w:tcPr>
    </w:tblStylePr>
  </w:style>
  <w:style w:type="paragraph" w:customStyle="1" w:styleId="FactSheetTitle">
    <w:name w:val="Fact Sheet Title"/>
    <w:basedOn w:val="Normal"/>
    <w:qFormat/>
    <w:rsid w:val="000E07C8"/>
    <w:rPr>
      <w:rFonts w:ascii="Century Gothic" w:hAnsi="Century Gothic"/>
      <w:b/>
      <w:color w:val="FFFFFF" w:themeColor="background1"/>
      <w:sz w:val="28"/>
    </w:rPr>
  </w:style>
  <w:style w:type="paragraph" w:styleId="Caption">
    <w:name w:val="caption"/>
    <w:basedOn w:val="Normal"/>
    <w:next w:val="Normal"/>
    <w:uiPriority w:val="35"/>
    <w:unhideWhenUsed/>
    <w:qFormat/>
    <w:rsid w:val="00776DCE"/>
    <w:pPr>
      <w:spacing w:line="240" w:lineRule="auto"/>
    </w:pPr>
    <w:rPr>
      <w:rFonts w:asciiTheme="minorHAnsi" w:hAnsiTheme="minorHAnsi"/>
      <w:b/>
      <w:bCs/>
      <w:color w:val="E84C22" w:themeColor="accent1"/>
      <w:sz w:val="18"/>
      <w:szCs w:val="18"/>
    </w:rPr>
  </w:style>
  <w:style w:type="table" w:styleId="MediumShading1-Accent1">
    <w:name w:val="Medium Shading 1 Accent 1"/>
    <w:basedOn w:val="TableNormal"/>
    <w:uiPriority w:val="63"/>
    <w:rsid w:val="00B324A7"/>
    <w:pPr>
      <w:spacing w:after="0" w:line="240" w:lineRule="auto"/>
    </w:pPr>
    <w:rPr>
      <w:lang w:val="en-US"/>
    </w:rPr>
    <w:tblPr>
      <w:tblStyleRowBandSize w:val="1"/>
      <w:tblStyleColBandSize w:val="1"/>
      <w:tblBorders>
        <w:top w:val="single" w:sz="8" w:space="0" w:color="ED7859" w:themeColor="accent1" w:themeTint="BF"/>
        <w:left w:val="single" w:sz="8" w:space="0" w:color="ED7859" w:themeColor="accent1" w:themeTint="BF"/>
        <w:bottom w:val="single" w:sz="8" w:space="0" w:color="ED7859" w:themeColor="accent1" w:themeTint="BF"/>
        <w:right w:val="single" w:sz="8" w:space="0" w:color="ED7859" w:themeColor="accent1" w:themeTint="BF"/>
        <w:insideH w:val="single" w:sz="8" w:space="0" w:color="ED7859" w:themeColor="accent1" w:themeTint="BF"/>
      </w:tblBorders>
    </w:tblPr>
    <w:tblStylePr w:type="firstRow">
      <w:pPr>
        <w:spacing w:beforeLines="0" w:beforeAutospacing="0" w:afterLines="0" w:afterAutospacing="0" w:line="240" w:lineRule="auto"/>
      </w:pPr>
      <w:rPr>
        <w:b/>
        <w:bCs/>
        <w:color w:val="FFFFFF" w:themeColor="background1"/>
      </w:rPr>
      <w:tblPr/>
      <w:tcPr>
        <w:tcBorders>
          <w:top w:val="single" w:sz="8" w:space="0" w:color="ED7859" w:themeColor="accent1" w:themeTint="BF"/>
          <w:left w:val="single" w:sz="8" w:space="0" w:color="ED7859" w:themeColor="accent1" w:themeTint="BF"/>
          <w:bottom w:val="single" w:sz="8" w:space="0" w:color="ED7859" w:themeColor="accent1" w:themeTint="BF"/>
          <w:right w:val="single" w:sz="8" w:space="0" w:color="ED7859" w:themeColor="accent1" w:themeTint="BF"/>
          <w:insideH w:val="nil"/>
          <w:insideV w:val="nil"/>
        </w:tcBorders>
        <w:shd w:val="clear" w:color="auto" w:fill="E84C22" w:themeFill="accent1"/>
      </w:tcPr>
    </w:tblStylePr>
    <w:tblStylePr w:type="lastRow">
      <w:pPr>
        <w:spacing w:beforeLines="0" w:beforeAutospacing="0" w:afterLines="0" w:afterAutospacing="0" w:line="240" w:lineRule="auto"/>
      </w:pPr>
      <w:rPr>
        <w:b/>
        <w:bCs/>
      </w:rPr>
      <w:tblPr/>
      <w:tcPr>
        <w:tcBorders>
          <w:top w:val="double" w:sz="6" w:space="0" w:color="ED7859" w:themeColor="accent1" w:themeTint="BF"/>
          <w:left w:val="single" w:sz="8" w:space="0" w:color="ED7859" w:themeColor="accent1" w:themeTint="BF"/>
          <w:bottom w:val="single" w:sz="8" w:space="0" w:color="ED7859" w:themeColor="accent1" w:themeTint="BF"/>
          <w:right w:val="single" w:sz="8" w:space="0" w:color="ED7859"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D2C8" w:themeFill="accent1" w:themeFillTint="3F"/>
      </w:tcPr>
    </w:tblStylePr>
    <w:tblStylePr w:type="band1Horz">
      <w:tblPr/>
      <w:tcPr>
        <w:tcBorders>
          <w:insideH w:val="nil"/>
          <w:insideV w:val="nil"/>
        </w:tcBorders>
        <w:shd w:val="clear" w:color="auto" w:fill="F9D2C8" w:themeFill="accent1" w:themeFillTint="3F"/>
      </w:tcPr>
    </w:tblStylePr>
    <w:tblStylePr w:type="band2Horz">
      <w:tblPr/>
      <w:tcPr>
        <w:tcBorders>
          <w:insideH w:val="nil"/>
          <w:insideV w:val="nil"/>
        </w:tcBorders>
      </w:tcPr>
    </w:tblStylePr>
  </w:style>
  <w:style w:type="paragraph" w:customStyle="1" w:styleId="GivingFSFooter">
    <w:name w:val="Giving FS Footer"/>
    <w:basedOn w:val="Normal"/>
    <w:qFormat/>
    <w:rsid w:val="00927411"/>
    <w:rPr>
      <w:rFonts w:ascii="Century Gothic" w:hAnsi="Century Gothic"/>
      <w:color w:val="EF4136"/>
      <w:sz w:val="16"/>
    </w:rPr>
  </w:style>
  <w:style w:type="table" w:customStyle="1" w:styleId="ListTable6Colorful-Accent21">
    <w:name w:val="List Table 6 Colorful - Accent 21"/>
    <w:basedOn w:val="TableNormal"/>
    <w:uiPriority w:val="51"/>
    <w:rsid w:val="00F04755"/>
    <w:pPr>
      <w:spacing w:after="0" w:line="240" w:lineRule="auto"/>
    </w:pPr>
    <w:rPr>
      <w:color w:val="F49B00" w:themeColor="accent2" w:themeShade="BF"/>
    </w:rPr>
    <w:tblPr>
      <w:tblStyleRowBandSize w:val="1"/>
      <w:tblStyleColBandSize w:val="1"/>
      <w:tblBorders>
        <w:top w:val="single" w:sz="4" w:space="0" w:color="FFBD47" w:themeColor="accent2"/>
        <w:bottom w:val="single" w:sz="4" w:space="0" w:color="FFBD47" w:themeColor="accent2"/>
      </w:tblBorders>
    </w:tblPr>
    <w:tblStylePr w:type="firstRow">
      <w:rPr>
        <w:b/>
        <w:bCs/>
      </w:rPr>
      <w:tblPr/>
      <w:tcPr>
        <w:tcBorders>
          <w:bottom w:val="single" w:sz="4" w:space="0" w:color="FFBD47" w:themeColor="accent2"/>
        </w:tcBorders>
      </w:tcPr>
    </w:tblStylePr>
    <w:tblStylePr w:type="lastRow">
      <w:rPr>
        <w:b/>
        <w:bCs/>
      </w:rPr>
      <w:tblPr/>
      <w:tcPr>
        <w:tcBorders>
          <w:top w:val="double" w:sz="4" w:space="0" w:color="FFBD47" w:themeColor="accent2"/>
        </w:tcBorders>
      </w:tcPr>
    </w:tblStylePr>
    <w:tblStylePr w:type="firstCol">
      <w:rPr>
        <w:b/>
        <w:bCs/>
      </w:rPr>
    </w:tblStylePr>
    <w:tblStylePr w:type="lastCol">
      <w:rPr>
        <w:b/>
        <w:bCs/>
      </w:rPr>
    </w:tblStylePr>
    <w:tblStylePr w:type="band1Vert">
      <w:tblPr/>
      <w:tcPr>
        <w:shd w:val="clear" w:color="auto" w:fill="FFF1DA" w:themeFill="accent2" w:themeFillTint="33"/>
      </w:tcPr>
    </w:tblStylePr>
    <w:tblStylePr w:type="band1Horz">
      <w:tblPr/>
      <w:tcPr>
        <w:shd w:val="clear" w:color="auto" w:fill="FFF1DA" w:themeFill="accent2" w:themeFillTint="33"/>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themeColor="text1" w:themeTint="A6"/>
    </w:rPr>
  </w:style>
  <w:style w:type="table" w:customStyle="1" w:styleId="ListTable6Colorful-Accent51">
    <w:name w:val="List Table 6 Colorful - Accent 51"/>
    <w:basedOn w:val="TableNormal"/>
    <w:uiPriority w:val="51"/>
    <w:rsid w:val="00826AF6"/>
    <w:pPr>
      <w:spacing w:after="0" w:line="240" w:lineRule="auto"/>
    </w:pPr>
    <w:rPr>
      <w:color w:val="987200" w:themeColor="accent5" w:themeShade="BF"/>
    </w:rPr>
    <w:tblPr>
      <w:tblStyleRowBandSize w:val="1"/>
      <w:tblStyleColBandSize w:val="1"/>
      <w:tblBorders>
        <w:top w:val="single" w:sz="4" w:space="0" w:color="CC9900" w:themeColor="accent5"/>
        <w:bottom w:val="single" w:sz="4" w:space="0" w:color="CC9900" w:themeColor="accent5"/>
      </w:tblBorders>
    </w:tblPr>
    <w:tblStylePr w:type="firstRow">
      <w:rPr>
        <w:b/>
        <w:bCs/>
      </w:rPr>
      <w:tblPr/>
      <w:tcPr>
        <w:tcBorders>
          <w:bottom w:val="single" w:sz="4" w:space="0" w:color="CC9900" w:themeColor="accent5"/>
        </w:tcBorders>
      </w:tcPr>
    </w:tblStylePr>
    <w:tblStylePr w:type="lastRow">
      <w:rPr>
        <w:b/>
        <w:bCs/>
      </w:rPr>
      <w:tblPr/>
      <w:tcPr>
        <w:tcBorders>
          <w:top w:val="double" w:sz="4" w:space="0" w:color="CC9900" w:themeColor="accent5"/>
        </w:tcBorders>
      </w:tcPr>
    </w:tblStylePr>
    <w:tblStylePr w:type="firstCol">
      <w:rPr>
        <w:b/>
        <w:bCs/>
      </w:rPr>
    </w:tblStylePr>
    <w:tblStylePr w:type="lastCol">
      <w:rPr>
        <w:b/>
        <w:bCs/>
      </w:rPr>
    </w:tblStylePr>
    <w:tblStylePr w:type="band1Vert">
      <w:tblPr/>
      <w:tcPr>
        <w:shd w:val="clear" w:color="auto" w:fill="FFEFC1" w:themeFill="accent5" w:themeFillTint="33"/>
      </w:tcPr>
    </w:tblStylePr>
    <w:tblStylePr w:type="band1Horz">
      <w:tblPr/>
      <w:tcPr>
        <w:shd w:val="clear" w:color="auto" w:fill="FFEFC1" w:themeFill="accent5" w:themeFillTint="33"/>
      </w:tcPr>
    </w:tblStylePr>
  </w:style>
  <w:style w:type="table" w:customStyle="1" w:styleId="ListTable6Colorful-Accent11">
    <w:name w:val="List Table 6 Colorful - Accent 11"/>
    <w:basedOn w:val="TableNormal"/>
    <w:uiPriority w:val="51"/>
    <w:rsid w:val="00826AF6"/>
    <w:pPr>
      <w:spacing w:after="0" w:line="240" w:lineRule="auto"/>
    </w:pPr>
    <w:rPr>
      <w:color w:val="B43412" w:themeColor="accent1" w:themeShade="BF"/>
    </w:rPr>
    <w:tblPr>
      <w:tblStyleRowBandSize w:val="1"/>
      <w:tblStyleColBandSize w:val="1"/>
      <w:tblBorders>
        <w:top w:val="single" w:sz="4" w:space="0" w:color="E84C22" w:themeColor="accent1"/>
        <w:bottom w:val="single" w:sz="4" w:space="0" w:color="E84C22" w:themeColor="accent1"/>
      </w:tblBorders>
    </w:tblPr>
    <w:tblStylePr w:type="firstRow">
      <w:rPr>
        <w:b/>
        <w:bCs/>
      </w:rPr>
      <w:tblPr/>
      <w:tcPr>
        <w:tcBorders>
          <w:bottom w:val="single" w:sz="4" w:space="0" w:color="E84C22" w:themeColor="accent1"/>
        </w:tcBorders>
      </w:tcPr>
    </w:tblStylePr>
    <w:tblStylePr w:type="lastRow">
      <w:rPr>
        <w:b/>
        <w:bCs/>
      </w:rPr>
      <w:tblPr/>
      <w:tcPr>
        <w:tcBorders>
          <w:top w:val="double" w:sz="4" w:space="0" w:color="E84C22" w:themeColor="accent1"/>
        </w:tcBorders>
      </w:tcPr>
    </w:tblStylePr>
    <w:tblStylePr w:type="firstCol">
      <w:rPr>
        <w:b/>
        <w:bCs/>
      </w:rPr>
    </w:tblStylePr>
    <w:tblStylePr w:type="lastCol">
      <w:rPr>
        <w:b/>
        <w:bCs/>
      </w:rPr>
    </w:tblStylePr>
    <w:tblStylePr w:type="band1Vert">
      <w:tblPr/>
      <w:tcPr>
        <w:shd w:val="clear" w:color="auto" w:fill="FADAD2" w:themeFill="accent1" w:themeFillTint="33"/>
      </w:tcPr>
    </w:tblStylePr>
    <w:tblStylePr w:type="band1Horz">
      <w:tblPr/>
      <w:tcPr>
        <w:shd w:val="clear" w:color="auto" w:fill="FADAD2" w:themeFill="accent1" w:themeFillTint="33"/>
      </w:tcPr>
    </w:tblStylePr>
  </w:style>
  <w:style w:type="paragraph" w:styleId="ListParagraph">
    <w:name w:val="List Paragraph"/>
    <w:basedOn w:val="Normal"/>
    <w:uiPriority w:val="34"/>
    <w:qFormat/>
    <w:rsid w:val="009B2DF3"/>
    <w:pPr>
      <w:ind w:left="720"/>
      <w:contextualSpacing/>
    </w:pPr>
  </w:style>
  <w:style w:type="table" w:customStyle="1" w:styleId="GivingReportTable1">
    <w:name w:val="Giving Report Table1"/>
    <w:basedOn w:val="TableNormal"/>
    <w:uiPriority w:val="99"/>
    <w:qFormat/>
    <w:rsid w:val="00EF7AE4"/>
    <w:pPr>
      <w:spacing w:after="0" w:line="240" w:lineRule="auto"/>
    </w:pPr>
    <w:tblPr>
      <w:tblStyleRowBandSize w:val="1"/>
      <w:tblBorders>
        <w:insideH w:val="dashSmallGap" w:sz="4" w:space="0" w:color="595959" w:themeColor="text1" w:themeTint="A6"/>
      </w:tblBorders>
      <w:tblCellMar>
        <w:top w:w="57" w:type="dxa"/>
        <w:bottom w:w="57"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FFE6D3"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 w:type="table" w:customStyle="1" w:styleId="GivingReportTable2">
    <w:name w:val="Giving Report Table2"/>
    <w:basedOn w:val="TableNormal"/>
    <w:uiPriority w:val="99"/>
    <w:qFormat/>
    <w:rsid w:val="00C77BC0"/>
    <w:pPr>
      <w:spacing w:after="0" w:line="240" w:lineRule="auto"/>
    </w:pPr>
    <w:tblPr>
      <w:tblStyleRowBandSize w:val="1"/>
      <w:tblBorders>
        <w:insideH w:val="dashSmallGap" w:sz="4" w:space="0" w:color="595959" w:themeColor="text1" w:themeTint="A6"/>
      </w:tblBorders>
      <w:tblCellMar>
        <w:top w:w="57" w:type="dxa"/>
        <w:bottom w:w="57"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FFE6D3"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rPr>
      <w:rFonts w:ascii="Calibri Light" w:hAnsi="Calibri Light"/>
      <w:color w:val="404040" w:themeColor="text1" w:themeTint="BF"/>
    </w:rPr>
  </w:style>
  <w:style w:type="paragraph" w:styleId="Heading1">
    <w:name w:val="heading 1"/>
    <w:basedOn w:val="Normal"/>
    <w:next w:val="Normal"/>
    <w:link w:val="Heading1Char"/>
    <w:uiPriority w:val="9"/>
    <w:qFormat/>
    <w:rsid w:val="00927411"/>
    <w:pPr>
      <w:keepNext/>
      <w:keepLines/>
      <w:spacing w:after="120"/>
      <w:outlineLvl w:val="0"/>
    </w:pPr>
    <w:rPr>
      <w:rFonts w:ascii="Century Gothic" w:eastAsiaTheme="majorEastAsia" w:hAnsi="Century Gothic" w:cstheme="majorBidi"/>
      <w:bCs/>
      <w:color w:val="EF4136"/>
      <w:sz w:val="28"/>
      <w:szCs w:val="28"/>
    </w:rPr>
  </w:style>
  <w:style w:type="paragraph" w:styleId="Heading2">
    <w:name w:val="heading 2"/>
    <w:basedOn w:val="Normal"/>
    <w:next w:val="Normal"/>
    <w:link w:val="Heading2Char"/>
    <w:uiPriority w:val="9"/>
    <w:unhideWhenUsed/>
    <w:qFormat/>
    <w:rsid w:val="00927411"/>
    <w:pPr>
      <w:keepNext/>
      <w:keepLines/>
      <w:spacing w:after="0"/>
      <w:outlineLvl w:val="1"/>
    </w:pPr>
    <w:rPr>
      <w:rFonts w:ascii="Century Gothic" w:eastAsiaTheme="majorEastAsia" w:hAnsi="Century Gothic" w:cstheme="majorBidi"/>
      <w:bCs/>
      <w:color w:val="EF4136"/>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heme="majorEastAsia" w:hAnsi="Century Gothic" w:cstheme="majorBidi"/>
      <w:bCs/>
      <w:color w:val="595959" w:themeColor="text1" w:themeTint="A6"/>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heme="majorEastAsia" w:hAnsi="Century Gothic" w:cstheme="majorBidi"/>
      <w:b/>
      <w:bCs/>
      <w:iCs/>
      <w:color w:val="595959" w:themeColor="text1" w:themeTint="A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themeColor="background1"/>
      <w:sz w:val="56"/>
      <w:szCs w:val="56"/>
    </w:rPr>
  </w:style>
  <w:style w:type="paragraph" w:customStyle="1" w:styleId="GivingReportCoverSubtitle">
    <w:name w:val="Giving Report Cover Subtitle"/>
    <w:basedOn w:val="Normal"/>
    <w:qFormat/>
    <w:rsid w:val="006423B4"/>
    <w:rPr>
      <w:color w:val="FFFFFF" w:themeColor="background1"/>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themeColor="text1" w:themeTint="A6"/>
    </w:rPr>
  </w:style>
  <w:style w:type="table" w:styleId="TableGrid">
    <w:name w:val="Table Grid"/>
    <w:basedOn w:val="TableNormal"/>
    <w:uiPriority w:val="59"/>
    <w:rsid w:val="00F22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27411"/>
    <w:rPr>
      <w:rFonts w:ascii="Century Gothic" w:eastAsiaTheme="majorEastAsia" w:hAnsi="Century Gothic" w:cstheme="majorBidi"/>
      <w:bCs/>
      <w:color w:val="EF4136"/>
      <w:sz w:val="28"/>
      <w:szCs w:val="28"/>
    </w:rPr>
  </w:style>
  <w:style w:type="paragraph" w:customStyle="1" w:styleId="GivingReportBulletlevel1">
    <w:name w:val="Giving Report Bullet level 1"/>
    <w:basedOn w:val="Normal"/>
    <w:rsid w:val="00776DCE"/>
    <w:pPr>
      <w:numPr>
        <w:numId w:val="1"/>
      </w:numPr>
      <w:spacing w:after="120"/>
      <w:ind w:left="357" w:hanging="357"/>
      <w:contextualSpacing/>
    </w:pPr>
  </w:style>
  <w:style w:type="paragraph" w:customStyle="1" w:styleId="GivingReportBulletlevel2">
    <w:name w:val="Giving Report Bullet level 2"/>
    <w:basedOn w:val="GivingReportBulletlevel1"/>
    <w:qFormat/>
    <w:rsid w:val="004E5DEA"/>
    <w:pPr>
      <w:numPr>
        <w:ilvl w:val="1"/>
      </w:numPr>
    </w:pPr>
  </w:style>
  <w:style w:type="character" w:customStyle="1" w:styleId="Heading4Char">
    <w:name w:val="Heading 4 Char"/>
    <w:basedOn w:val="DefaultParagraphFont"/>
    <w:link w:val="Heading4"/>
    <w:uiPriority w:val="9"/>
    <w:rsid w:val="0014093D"/>
    <w:rPr>
      <w:rFonts w:ascii="Century Gothic" w:eastAsiaTheme="majorEastAsia" w:hAnsi="Century Gothic" w:cstheme="majorBidi"/>
      <w:b/>
      <w:bCs/>
      <w:iCs/>
      <w:color w:val="595959" w:themeColor="text1" w:themeTint="A6"/>
      <w:sz w:val="20"/>
    </w:rPr>
  </w:style>
  <w:style w:type="character" w:customStyle="1" w:styleId="Heading2Char">
    <w:name w:val="Heading 2 Char"/>
    <w:basedOn w:val="DefaultParagraphFont"/>
    <w:link w:val="Heading2"/>
    <w:uiPriority w:val="9"/>
    <w:rsid w:val="00927411"/>
    <w:rPr>
      <w:rFonts w:ascii="Century Gothic" w:eastAsiaTheme="majorEastAsia" w:hAnsi="Century Gothic" w:cstheme="majorBidi"/>
      <w:bCs/>
      <w:color w:val="EF4136"/>
      <w:szCs w:val="26"/>
    </w:rPr>
  </w:style>
  <w:style w:type="character" w:customStyle="1" w:styleId="Heading3Char">
    <w:name w:val="Heading 3 Char"/>
    <w:basedOn w:val="DefaultParagraphFont"/>
    <w:link w:val="Heading3"/>
    <w:uiPriority w:val="9"/>
    <w:rsid w:val="001B711C"/>
    <w:rPr>
      <w:rFonts w:ascii="Century Gothic" w:eastAsiaTheme="majorEastAsia" w:hAnsi="Century Gothic" w:cstheme="majorBidi"/>
      <w:bCs/>
      <w:color w:val="595959" w:themeColor="text1" w:themeTint="A6"/>
      <w:sz w:val="28"/>
    </w:rPr>
  </w:style>
  <w:style w:type="table" w:customStyle="1" w:styleId="GivingReportTable">
    <w:name w:val="Giving Report Table"/>
    <w:basedOn w:val="TableNormal"/>
    <w:uiPriority w:val="99"/>
    <w:qFormat/>
    <w:rsid w:val="00776DCE"/>
    <w:pPr>
      <w:spacing w:after="0" w:line="240" w:lineRule="auto"/>
    </w:pPr>
    <w:tblPr>
      <w:tblStyleRowBandSize w:val="1"/>
      <w:tblBorders>
        <w:insideH w:val="dashSmallGap" w:sz="4" w:space="0" w:color="595959" w:themeColor="text1" w:themeTint="A6"/>
      </w:tblBorders>
      <w:tblCellMar>
        <w:top w:w="57" w:type="dxa"/>
        <w:bottom w:w="57"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FFE6D3"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themeColor="text1" w:themeTint="A6"/>
      <w:sz w:val="18"/>
    </w:rPr>
  </w:style>
  <w:style w:type="paragraph" w:customStyle="1" w:styleId="GivingReportFigureTitle">
    <w:name w:val="Giving Report Figure Title"/>
    <w:basedOn w:val="Normal"/>
    <w:qFormat/>
    <w:rsid w:val="004471B1"/>
    <w:rPr>
      <w:color w:val="7F3F98"/>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basedOn w:val="DefaultParagraphFont"/>
    <w:uiPriority w:val="99"/>
    <w:unhideWhenUsed/>
    <w:rsid w:val="00927411"/>
    <w:rPr>
      <w:color w:val="EF4136"/>
      <w:u w:val="single"/>
    </w:rPr>
  </w:style>
  <w:style w:type="table" w:styleId="LightList-Accent1">
    <w:name w:val="Light List Accent 1"/>
    <w:basedOn w:val="TableNormal"/>
    <w:uiPriority w:val="61"/>
    <w:rsid w:val="00BA219D"/>
    <w:pPr>
      <w:spacing w:after="0" w:line="240" w:lineRule="auto"/>
    </w:pPr>
    <w:rPr>
      <w:rFonts w:eastAsiaTheme="minorEastAsia"/>
      <w:lang w:val="en-US"/>
    </w:rPr>
    <w:tblPr>
      <w:tblStyleRowBandSize w:val="1"/>
      <w:tblStyleColBandSize w:val="1"/>
      <w:tblBorders>
        <w:top w:val="single" w:sz="8" w:space="0" w:color="E84C22" w:themeColor="accent1"/>
        <w:left w:val="single" w:sz="8" w:space="0" w:color="E84C22" w:themeColor="accent1"/>
        <w:bottom w:val="single" w:sz="8" w:space="0" w:color="E84C22" w:themeColor="accent1"/>
        <w:right w:val="single" w:sz="8" w:space="0" w:color="E84C22" w:themeColor="accent1"/>
      </w:tblBorders>
    </w:tblPr>
    <w:tblStylePr w:type="firstRow">
      <w:pPr>
        <w:spacing w:before="0" w:after="0" w:line="240" w:lineRule="auto"/>
      </w:pPr>
      <w:rPr>
        <w:b/>
        <w:bCs/>
        <w:color w:val="FFFFFF" w:themeColor="background1"/>
      </w:rPr>
      <w:tblPr/>
      <w:tcPr>
        <w:shd w:val="clear" w:color="auto" w:fill="E84C22" w:themeFill="accent1"/>
      </w:tcPr>
    </w:tblStylePr>
    <w:tblStylePr w:type="lastRow">
      <w:pPr>
        <w:spacing w:before="0" w:after="0" w:line="240" w:lineRule="auto"/>
      </w:pPr>
      <w:rPr>
        <w:b/>
        <w:bCs/>
      </w:rPr>
      <w:tblPr/>
      <w:tcPr>
        <w:tcBorders>
          <w:top w:val="double" w:sz="6" w:space="0" w:color="E84C22" w:themeColor="accent1"/>
          <w:left w:val="single" w:sz="8" w:space="0" w:color="E84C22" w:themeColor="accent1"/>
          <w:bottom w:val="single" w:sz="8" w:space="0" w:color="E84C22" w:themeColor="accent1"/>
          <w:right w:val="single" w:sz="8" w:space="0" w:color="E84C22" w:themeColor="accent1"/>
        </w:tcBorders>
      </w:tcPr>
    </w:tblStylePr>
    <w:tblStylePr w:type="firstCol">
      <w:rPr>
        <w:b/>
        <w:bCs/>
      </w:rPr>
    </w:tblStylePr>
    <w:tblStylePr w:type="lastCol">
      <w:rPr>
        <w:b/>
        <w:bCs/>
      </w:rPr>
    </w:tblStylePr>
    <w:tblStylePr w:type="band1Vert">
      <w:tblPr/>
      <w:tcPr>
        <w:tcBorders>
          <w:top w:val="single" w:sz="8" w:space="0" w:color="E84C22" w:themeColor="accent1"/>
          <w:left w:val="single" w:sz="8" w:space="0" w:color="E84C22" w:themeColor="accent1"/>
          <w:bottom w:val="single" w:sz="8" w:space="0" w:color="E84C22" w:themeColor="accent1"/>
          <w:right w:val="single" w:sz="8" w:space="0" w:color="E84C22" w:themeColor="accent1"/>
        </w:tcBorders>
      </w:tcPr>
    </w:tblStylePr>
    <w:tblStylePr w:type="band1Horz">
      <w:tblPr/>
      <w:tcPr>
        <w:tcBorders>
          <w:top w:val="single" w:sz="8" w:space="0" w:color="E84C22" w:themeColor="accent1"/>
          <w:left w:val="single" w:sz="8" w:space="0" w:color="E84C22" w:themeColor="accent1"/>
          <w:bottom w:val="single" w:sz="8" w:space="0" w:color="E84C22" w:themeColor="accent1"/>
          <w:right w:val="single" w:sz="8" w:space="0" w:color="E84C22" w:themeColor="accent1"/>
        </w:tcBorders>
      </w:tcPr>
    </w:tblStylePr>
  </w:style>
  <w:style w:type="paragraph" w:customStyle="1" w:styleId="FactSheetTitle">
    <w:name w:val="Fact Sheet Title"/>
    <w:basedOn w:val="Normal"/>
    <w:qFormat/>
    <w:rsid w:val="000E07C8"/>
    <w:rPr>
      <w:rFonts w:ascii="Century Gothic" w:hAnsi="Century Gothic"/>
      <w:b/>
      <w:color w:val="FFFFFF" w:themeColor="background1"/>
      <w:sz w:val="28"/>
    </w:rPr>
  </w:style>
  <w:style w:type="paragraph" w:styleId="Caption">
    <w:name w:val="caption"/>
    <w:basedOn w:val="Normal"/>
    <w:next w:val="Normal"/>
    <w:uiPriority w:val="35"/>
    <w:unhideWhenUsed/>
    <w:qFormat/>
    <w:rsid w:val="00776DCE"/>
    <w:pPr>
      <w:spacing w:line="240" w:lineRule="auto"/>
    </w:pPr>
    <w:rPr>
      <w:rFonts w:asciiTheme="minorHAnsi" w:hAnsiTheme="minorHAnsi"/>
      <w:b/>
      <w:bCs/>
      <w:color w:val="E84C22" w:themeColor="accent1"/>
      <w:sz w:val="18"/>
      <w:szCs w:val="18"/>
    </w:rPr>
  </w:style>
  <w:style w:type="table" w:styleId="MediumShading1-Accent1">
    <w:name w:val="Medium Shading 1 Accent 1"/>
    <w:basedOn w:val="TableNormal"/>
    <w:uiPriority w:val="63"/>
    <w:rsid w:val="00B324A7"/>
    <w:pPr>
      <w:spacing w:after="0" w:line="240" w:lineRule="auto"/>
    </w:pPr>
    <w:rPr>
      <w:lang w:val="en-US"/>
    </w:rPr>
    <w:tblPr>
      <w:tblStyleRowBandSize w:val="1"/>
      <w:tblStyleColBandSize w:val="1"/>
      <w:tblBorders>
        <w:top w:val="single" w:sz="8" w:space="0" w:color="ED7859" w:themeColor="accent1" w:themeTint="BF"/>
        <w:left w:val="single" w:sz="8" w:space="0" w:color="ED7859" w:themeColor="accent1" w:themeTint="BF"/>
        <w:bottom w:val="single" w:sz="8" w:space="0" w:color="ED7859" w:themeColor="accent1" w:themeTint="BF"/>
        <w:right w:val="single" w:sz="8" w:space="0" w:color="ED7859" w:themeColor="accent1" w:themeTint="BF"/>
        <w:insideH w:val="single" w:sz="8" w:space="0" w:color="ED7859" w:themeColor="accent1" w:themeTint="BF"/>
      </w:tblBorders>
    </w:tblPr>
    <w:tblStylePr w:type="firstRow">
      <w:pPr>
        <w:spacing w:beforeLines="0" w:beforeAutospacing="0" w:afterLines="0" w:afterAutospacing="0" w:line="240" w:lineRule="auto"/>
      </w:pPr>
      <w:rPr>
        <w:b/>
        <w:bCs/>
        <w:color w:val="FFFFFF" w:themeColor="background1"/>
      </w:rPr>
      <w:tblPr/>
      <w:tcPr>
        <w:tcBorders>
          <w:top w:val="single" w:sz="8" w:space="0" w:color="ED7859" w:themeColor="accent1" w:themeTint="BF"/>
          <w:left w:val="single" w:sz="8" w:space="0" w:color="ED7859" w:themeColor="accent1" w:themeTint="BF"/>
          <w:bottom w:val="single" w:sz="8" w:space="0" w:color="ED7859" w:themeColor="accent1" w:themeTint="BF"/>
          <w:right w:val="single" w:sz="8" w:space="0" w:color="ED7859" w:themeColor="accent1" w:themeTint="BF"/>
          <w:insideH w:val="nil"/>
          <w:insideV w:val="nil"/>
        </w:tcBorders>
        <w:shd w:val="clear" w:color="auto" w:fill="E84C22" w:themeFill="accent1"/>
      </w:tcPr>
    </w:tblStylePr>
    <w:tblStylePr w:type="lastRow">
      <w:pPr>
        <w:spacing w:beforeLines="0" w:beforeAutospacing="0" w:afterLines="0" w:afterAutospacing="0" w:line="240" w:lineRule="auto"/>
      </w:pPr>
      <w:rPr>
        <w:b/>
        <w:bCs/>
      </w:rPr>
      <w:tblPr/>
      <w:tcPr>
        <w:tcBorders>
          <w:top w:val="double" w:sz="6" w:space="0" w:color="ED7859" w:themeColor="accent1" w:themeTint="BF"/>
          <w:left w:val="single" w:sz="8" w:space="0" w:color="ED7859" w:themeColor="accent1" w:themeTint="BF"/>
          <w:bottom w:val="single" w:sz="8" w:space="0" w:color="ED7859" w:themeColor="accent1" w:themeTint="BF"/>
          <w:right w:val="single" w:sz="8" w:space="0" w:color="ED7859" w:themeColor="accent1" w:themeTint="BF"/>
          <w:insideH w:val="nil"/>
          <w:insideV w:val="nil"/>
        </w:tcBorders>
      </w:tcPr>
    </w:tblStylePr>
    <w:tblStylePr w:type="firstCol">
      <w:rPr>
        <w:b/>
        <w:bCs/>
      </w:rPr>
    </w:tblStylePr>
    <w:tblStylePr w:type="lastCol">
      <w:rPr>
        <w:b/>
        <w:bCs/>
      </w:rPr>
    </w:tblStylePr>
    <w:tblStylePr w:type="band1Vert">
      <w:tblPr/>
      <w:tcPr>
        <w:shd w:val="clear" w:color="auto" w:fill="F9D2C8" w:themeFill="accent1" w:themeFillTint="3F"/>
      </w:tcPr>
    </w:tblStylePr>
    <w:tblStylePr w:type="band1Horz">
      <w:tblPr/>
      <w:tcPr>
        <w:tcBorders>
          <w:insideH w:val="nil"/>
          <w:insideV w:val="nil"/>
        </w:tcBorders>
        <w:shd w:val="clear" w:color="auto" w:fill="F9D2C8" w:themeFill="accent1" w:themeFillTint="3F"/>
      </w:tcPr>
    </w:tblStylePr>
    <w:tblStylePr w:type="band2Horz">
      <w:tblPr/>
      <w:tcPr>
        <w:tcBorders>
          <w:insideH w:val="nil"/>
          <w:insideV w:val="nil"/>
        </w:tcBorders>
      </w:tcPr>
    </w:tblStylePr>
  </w:style>
  <w:style w:type="paragraph" w:customStyle="1" w:styleId="GivingFSFooter">
    <w:name w:val="Giving FS Footer"/>
    <w:basedOn w:val="Normal"/>
    <w:qFormat/>
    <w:rsid w:val="00927411"/>
    <w:rPr>
      <w:rFonts w:ascii="Century Gothic" w:hAnsi="Century Gothic"/>
      <w:color w:val="EF4136"/>
      <w:sz w:val="16"/>
    </w:rPr>
  </w:style>
  <w:style w:type="table" w:customStyle="1" w:styleId="ListTable6Colorful-Accent21">
    <w:name w:val="List Table 6 Colorful - Accent 21"/>
    <w:basedOn w:val="TableNormal"/>
    <w:uiPriority w:val="51"/>
    <w:rsid w:val="00F04755"/>
    <w:pPr>
      <w:spacing w:after="0" w:line="240" w:lineRule="auto"/>
    </w:pPr>
    <w:rPr>
      <w:color w:val="F49B00" w:themeColor="accent2" w:themeShade="BF"/>
    </w:rPr>
    <w:tblPr>
      <w:tblStyleRowBandSize w:val="1"/>
      <w:tblStyleColBandSize w:val="1"/>
      <w:tblBorders>
        <w:top w:val="single" w:sz="4" w:space="0" w:color="FFBD47" w:themeColor="accent2"/>
        <w:bottom w:val="single" w:sz="4" w:space="0" w:color="FFBD47" w:themeColor="accent2"/>
      </w:tblBorders>
    </w:tblPr>
    <w:tblStylePr w:type="firstRow">
      <w:rPr>
        <w:b/>
        <w:bCs/>
      </w:rPr>
      <w:tblPr/>
      <w:tcPr>
        <w:tcBorders>
          <w:bottom w:val="single" w:sz="4" w:space="0" w:color="FFBD47" w:themeColor="accent2"/>
        </w:tcBorders>
      </w:tcPr>
    </w:tblStylePr>
    <w:tblStylePr w:type="lastRow">
      <w:rPr>
        <w:b/>
        <w:bCs/>
      </w:rPr>
      <w:tblPr/>
      <w:tcPr>
        <w:tcBorders>
          <w:top w:val="double" w:sz="4" w:space="0" w:color="FFBD47" w:themeColor="accent2"/>
        </w:tcBorders>
      </w:tcPr>
    </w:tblStylePr>
    <w:tblStylePr w:type="firstCol">
      <w:rPr>
        <w:b/>
        <w:bCs/>
      </w:rPr>
    </w:tblStylePr>
    <w:tblStylePr w:type="lastCol">
      <w:rPr>
        <w:b/>
        <w:bCs/>
      </w:rPr>
    </w:tblStylePr>
    <w:tblStylePr w:type="band1Vert">
      <w:tblPr/>
      <w:tcPr>
        <w:shd w:val="clear" w:color="auto" w:fill="FFF1DA" w:themeFill="accent2" w:themeFillTint="33"/>
      </w:tcPr>
    </w:tblStylePr>
    <w:tblStylePr w:type="band1Horz">
      <w:tblPr/>
      <w:tcPr>
        <w:shd w:val="clear" w:color="auto" w:fill="FFF1DA" w:themeFill="accent2" w:themeFillTint="33"/>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themeColor="text1" w:themeTint="A6"/>
    </w:rPr>
  </w:style>
  <w:style w:type="table" w:customStyle="1" w:styleId="ListTable6Colorful-Accent51">
    <w:name w:val="List Table 6 Colorful - Accent 51"/>
    <w:basedOn w:val="TableNormal"/>
    <w:uiPriority w:val="51"/>
    <w:rsid w:val="00826AF6"/>
    <w:pPr>
      <w:spacing w:after="0" w:line="240" w:lineRule="auto"/>
    </w:pPr>
    <w:rPr>
      <w:color w:val="987200" w:themeColor="accent5" w:themeShade="BF"/>
    </w:rPr>
    <w:tblPr>
      <w:tblStyleRowBandSize w:val="1"/>
      <w:tblStyleColBandSize w:val="1"/>
      <w:tblBorders>
        <w:top w:val="single" w:sz="4" w:space="0" w:color="CC9900" w:themeColor="accent5"/>
        <w:bottom w:val="single" w:sz="4" w:space="0" w:color="CC9900" w:themeColor="accent5"/>
      </w:tblBorders>
    </w:tblPr>
    <w:tblStylePr w:type="firstRow">
      <w:rPr>
        <w:b/>
        <w:bCs/>
      </w:rPr>
      <w:tblPr/>
      <w:tcPr>
        <w:tcBorders>
          <w:bottom w:val="single" w:sz="4" w:space="0" w:color="CC9900" w:themeColor="accent5"/>
        </w:tcBorders>
      </w:tcPr>
    </w:tblStylePr>
    <w:tblStylePr w:type="lastRow">
      <w:rPr>
        <w:b/>
        <w:bCs/>
      </w:rPr>
      <w:tblPr/>
      <w:tcPr>
        <w:tcBorders>
          <w:top w:val="double" w:sz="4" w:space="0" w:color="CC9900" w:themeColor="accent5"/>
        </w:tcBorders>
      </w:tcPr>
    </w:tblStylePr>
    <w:tblStylePr w:type="firstCol">
      <w:rPr>
        <w:b/>
        <w:bCs/>
      </w:rPr>
    </w:tblStylePr>
    <w:tblStylePr w:type="lastCol">
      <w:rPr>
        <w:b/>
        <w:bCs/>
      </w:rPr>
    </w:tblStylePr>
    <w:tblStylePr w:type="band1Vert">
      <w:tblPr/>
      <w:tcPr>
        <w:shd w:val="clear" w:color="auto" w:fill="FFEFC1" w:themeFill="accent5" w:themeFillTint="33"/>
      </w:tcPr>
    </w:tblStylePr>
    <w:tblStylePr w:type="band1Horz">
      <w:tblPr/>
      <w:tcPr>
        <w:shd w:val="clear" w:color="auto" w:fill="FFEFC1" w:themeFill="accent5" w:themeFillTint="33"/>
      </w:tcPr>
    </w:tblStylePr>
  </w:style>
  <w:style w:type="table" w:customStyle="1" w:styleId="ListTable6Colorful-Accent11">
    <w:name w:val="List Table 6 Colorful - Accent 11"/>
    <w:basedOn w:val="TableNormal"/>
    <w:uiPriority w:val="51"/>
    <w:rsid w:val="00826AF6"/>
    <w:pPr>
      <w:spacing w:after="0" w:line="240" w:lineRule="auto"/>
    </w:pPr>
    <w:rPr>
      <w:color w:val="B43412" w:themeColor="accent1" w:themeShade="BF"/>
    </w:rPr>
    <w:tblPr>
      <w:tblStyleRowBandSize w:val="1"/>
      <w:tblStyleColBandSize w:val="1"/>
      <w:tblBorders>
        <w:top w:val="single" w:sz="4" w:space="0" w:color="E84C22" w:themeColor="accent1"/>
        <w:bottom w:val="single" w:sz="4" w:space="0" w:color="E84C22" w:themeColor="accent1"/>
      </w:tblBorders>
    </w:tblPr>
    <w:tblStylePr w:type="firstRow">
      <w:rPr>
        <w:b/>
        <w:bCs/>
      </w:rPr>
      <w:tblPr/>
      <w:tcPr>
        <w:tcBorders>
          <w:bottom w:val="single" w:sz="4" w:space="0" w:color="E84C22" w:themeColor="accent1"/>
        </w:tcBorders>
      </w:tcPr>
    </w:tblStylePr>
    <w:tblStylePr w:type="lastRow">
      <w:rPr>
        <w:b/>
        <w:bCs/>
      </w:rPr>
      <w:tblPr/>
      <w:tcPr>
        <w:tcBorders>
          <w:top w:val="double" w:sz="4" w:space="0" w:color="E84C22" w:themeColor="accent1"/>
        </w:tcBorders>
      </w:tcPr>
    </w:tblStylePr>
    <w:tblStylePr w:type="firstCol">
      <w:rPr>
        <w:b/>
        <w:bCs/>
      </w:rPr>
    </w:tblStylePr>
    <w:tblStylePr w:type="lastCol">
      <w:rPr>
        <w:b/>
        <w:bCs/>
      </w:rPr>
    </w:tblStylePr>
    <w:tblStylePr w:type="band1Vert">
      <w:tblPr/>
      <w:tcPr>
        <w:shd w:val="clear" w:color="auto" w:fill="FADAD2" w:themeFill="accent1" w:themeFillTint="33"/>
      </w:tcPr>
    </w:tblStylePr>
    <w:tblStylePr w:type="band1Horz">
      <w:tblPr/>
      <w:tcPr>
        <w:shd w:val="clear" w:color="auto" w:fill="FADAD2" w:themeFill="accent1" w:themeFillTint="33"/>
      </w:tcPr>
    </w:tblStylePr>
  </w:style>
  <w:style w:type="paragraph" w:styleId="ListParagraph">
    <w:name w:val="List Paragraph"/>
    <w:basedOn w:val="Normal"/>
    <w:uiPriority w:val="34"/>
    <w:qFormat/>
    <w:rsid w:val="009B2DF3"/>
    <w:pPr>
      <w:ind w:left="720"/>
      <w:contextualSpacing/>
    </w:pPr>
  </w:style>
  <w:style w:type="table" w:customStyle="1" w:styleId="GivingReportTable1">
    <w:name w:val="Giving Report Table1"/>
    <w:basedOn w:val="TableNormal"/>
    <w:uiPriority w:val="99"/>
    <w:qFormat/>
    <w:rsid w:val="00EF7AE4"/>
    <w:pPr>
      <w:spacing w:after="0" w:line="240" w:lineRule="auto"/>
    </w:pPr>
    <w:tblPr>
      <w:tblStyleRowBandSize w:val="1"/>
      <w:tblBorders>
        <w:insideH w:val="dashSmallGap" w:sz="4" w:space="0" w:color="595959" w:themeColor="text1" w:themeTint="A6"/>
      </w:tblBorders>
      <w:tblCellMar>
        <w:top w:w="57" w:type="dxa"/>
        <w:bottom w:w="57"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FFE6D3"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 w:type="table" w:customStyle="1" w:styleId="GivingReportTable2">
    <w:name w:val="Giving Report Table2"/>
    <w:basedOn w:val="TableNormal"/>
    <w:uiPriority w:val="99"/>
    <w:qFormat/>
    <w:rsid w:val="00C77BC0"/>
    <w:pPr>
      <w:spacing w:after="0" w:line="240" w:lineRule="auto"/>
    </w:pPr>
    <w:tblPr>
      <w:tblStyleRowBandSize w:val="1"/>
      <w:tblBorders>
        <w:insideH w:val="dashSmallGap" w:sz="4" w:space="0" w:color="595959" w:themeColor="text1" w:themeTint="A6"/>
      </w:tblBorders>
      <w:tblCellMar>
        <w:top w:w="57" w:type="dxa"/>
        <w:bottom w:w="57" w:type="dxa"/>
      </w:tblCellMar>
    </w:tblPr>
    <w:tcPr>
      <w:shd w:val="clear" w:color="auto" w:fill="FFFFFF" w:themeFill="background1"/>
    </w:tcPr>
    <w:tblStylePr w:type="firstRow">
      <w:rPr>
        <w:rFonts w:ascii="Calibri Light" w:hAnsi="Calibri Light"/>
        <w:b/>
        <w:color w:val="404040" w:themeColor="text1" w:themeTint="BF"/>
        <w:sz w:val="18"/>
      </w:rPr>
      <w:tblPr/>
      <w:tcPr>
        <w:tcBorders>
          <w:top w:val="single" w:sz="4" w:space="0" w:color="7030A0"/>
          <w:bottom w:val="nil"/>
          <w:insideH w:val="nil"/>
        </w:tcBorders>
        <w:shd w:val="clear" w:color="auto" w:fill="FFFFFF" w:themeFill="background1"/>
      </w:tcPr>
    </w:tblStylePr>
    <w:tblStylePr w:type="lastRow">
      <w:tblPr/>
      <w:tcPr>
        <w:tcBorders>
          <w:bottom w:val="single" w:sz="4" w:space="0" w:color="7030A0"/>
        </w:tcBorders>
      </w:tcPr>
    </w:tblStylePr>
    <w:tblStylePr w:type="band1Horz">
      <w:rPr>
        <w:rFonts w:ascii="Calibri Light" w:hAnsi="Calibri Light"/>
        <w:color w:val="404040" w:themeColor="text1" w:themeTint="BF"/>
        <w:sz w:val="18"/>
      </w:rPr>
      <w:tblPr/>
      <w:tcPr>
        <w:shd w:val="clear" w:color="auto" w:fill="FFE6D3" w:themeFill="accent4" w:themeFillTint="33"/>
      </w:tcPr>
    </w:tblStylePr>
    <w:tblStylePr w:type="band2Horz">
      <w:rPr>
        <w:rFonts w:ascii="Calibri Light" w:hAnsi="Calibri Light"/>
        <w:color w:val="404040" w:themeColor="text1" w:themeTint="BF"/>
        <w:sz w:val="18"/>
      </w:rPr>
      <w:tblPr/>
      <w:tcPr>
        <w:tcBorders>
          <w:insideH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66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accpa.com.au/" TargetMode="External"/><Relationship Id="rId2" Type="http://schemas.openxmlformats.org/officeDocument/2006/relationships/numbering" Target="numbering.xml"/><Relationship Id="rId16" Type="http://schemas.openxmlformats.org/officeDocument/2006/relationships/hyperlink" Target="http://www.swinburne.edu.au/research/social-impact/"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qut.edu.au/business/about/research-centres/australian-centre-for-philanthropy-and-nonprofit-studies"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www.dss.gov.a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B663A-F817-4869-8E4C-9870D3582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Giving Australia 2016 philanthropy fact sheet</vt:lpstr>
    </vt:vector>
  </TitlesOfParts>
  <Company>FaHCSIA</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Giving Australia 2016 philanthropy fact sheet</dc:title>
  <dc:subject>Research highlights from Giving Australia 2016 about philanthropy</dc:subject>
  <dc:creator>Australian Government Department of Social Services</dc:creator>
  <cp:keywords>philanthropy, philanthropists, national, grant, foundation, trust</cp:keywords>
  <cp:lastModifiedBy>WHITER, Shaun</cp:lastModifiedBy>
  <cp:revision>3</cp:revision>
  <cp:lastPrinted>2016-11-30T14:55:00Z</cp:lastPrinted>
  <dcterms:created xsi:type="dcterms:W3CDTF">2017-04-05T06:47:00Z</dcterms:created>
  <dcterms:modified xsi:type="dcterms:W3CDTF">2017-04-06T04:42:00Z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