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A5406F" w14:textId="77777777" w:rsidR="00F037D3" w:rsidRPr="00F037D3" w:rsidRDefault="00F037D3" w:rsidP="00F037D3">
      <w:pPr>
        <w:pStyle w:val="Title"/>
      </w:pPr>
      <w:r w:rsidRPr="00F037D3">
        <w:t>Prime Minister’s Community Business Partnership</w:t>
      </w:r>
    </w:p>
    <w:p w14:paraId="78A5C500" w14:textId="77777777" w:rsidR="00286EAD" w:rsidRDefault="00F037D3" w:rsidP="00F037D3">
      <w:pPr>
        <w:pStyle w:val="Title"/>
      </w:pPr>
      <w:r w:rsidRPr="00F037D3">
        <w:t>ANNUAL REPORT 2015</w:t>
      </w:r>
    </w:p>
    <w:p w14:paraId="0A8399AC" w14:textId="77777777" w:rsidR="00737D9E" w:rsidRDefault="00737D9E" w:rsidP="00547720">
      <w:pPr>
        <w:pStyle w:val="BodyText"/>
        <w:rPr>
          <w:spacing w:val="-2"/>
        </w:rPr>
      </w:pPr>
      <w:r>
        <w:br w:type="page"/>
      </w:r>
    </w:p>
    <w:p w14:paraId="75AB1AF2" w14:textId="77777777" w:rsidR="00F037D3" w:rsidRPr="00F037D3" w:rsidRDefault="00F037D3" w:rsidP="00F037D3">
      <w:pPr>
        <w:pStyle w:val="BodyText"/>
      </w:pPr>
      <w:r w:rsidRPr="00F037D3">
        <w:lastRenderedPageBreak/>
        <w:t>ISBN: 978-1-925318-24-1</w:t>
      </w:r>
    </w:p>
    <w:p w14:paraId="4035B059" w14:textId="77777777" w:rsidR="00F037D3" w:rsidRPr="00F037D3" w:rsidRDefault="00F037D3" w:rsidP="00F037D3">
      <w:pPr>
        <w:pStyle w:val="BodyText"/>
      </w:pPr>
      <w:r w:rsidRPr="00F037D3">
        <w:t>Copyright notice</w:t>
      </w:r>
    </w:p>
    <w:p w14:paraId="66BB18AD" w14:textId="77777777" w:rsidR="00F037D3" w:rsidRPr="00F037D3" w:rsidRDefault="00F037D3" w:rsidP="00F037D3">
      <w:pPr>
        <w:pStyle w:val="BodyText"/>
      </w:pPr>
      <w:r w:rsidRPr="00F037D3">
        <w:t>This document, the Prime Minister’s Community Business Partnership Annual Report 2015, is licensed under the Creative Commons Attribution 4.0 International Licence.</w:t>
      </w:r>
    </w:p>
    <w:p w14:paraId="32AE9697" w14:textId="77777777" w:rsidR="00F037D3" w:rsidRPr="00F037D3" w:rsidRDefault="00F037D3" w:rsidP="00F037D3">
      <w:pPr>
        <w:pStyle w:val="BodyText"/>
      </w:pPr>
      <w:r w:rsidRPr="00F037D3">
        <w:t xml:space="preserve">Licence URL: </w:t>
      </w:r>
      <w:hyperlink r:id="rId9" w:history="1">
        <w:r w:rsidR="00E80011" w:rsidRPr="009D3727">
          <w:rPr>
            <w:rStyle w:val="Hyperlink"/>
          </w:rPr>
          <w:t>https://creativecommons.org/licenses/by/4.0/legalcode</w:t>
        </w:r>
      </w:hyperlink>
    </w:p>
    <w:p w14:paraId="6ED3EE5A" w14:textId="77777777" w:rsidR="00F037D3" w:rsidRPr="00F037D3" w:rsidRDefault="00F037D3" w:rsidP="00F037D3">
      <w:pPr>
        <w:pStyle w:val="BodyText"/>
      </w:pPr>
      <w:r w:rsidRPr="00F037D3">
        <w:t>Please attribute: © Commonwealth of Australia (Department of Social Services) 2015.</w:t>
      </w:r>
    </w:p>
    <w:p w14:paraId="536BE82F" w14:textId="77777777" w:rsidR="00F037D3" w:rsidRPr="00EF0CF9" w:rsidRDefault="00F037D3" w:rsidP="00F037D3">
      <w:pPr>
        <w:pStyle w:val="BodyText"/>
        <w:rPr>
          <w:rStyle w:val="BoldCharacter"/>
        </w:rPr>
      </w:pPr>
      <w:r w:rsidRPr="00EF0CF9">
        <w:rPr>
          <w:rStyle w:val="BoldCharacter"/>
        </w:rPr>
        <w:t xml:space="preserve">Notice: </w:t>
      </w:r>
    </w:p>
    <w:p w14:paraId="6DB725B8" w14:textId="77777777" w:rsidR="00F037D3" w:rsidRPr="00F037D3" w:rsidRDefault="00F037D3" w:rsidP="00547720">
      <w:pPr>
        <w:pStyle w:val="ListNumber"/>
      </w:pPr>
      <w:r w:rsidRPr="00F037D3">
        <w:t>If you create a derivative of this document, the Department of Social Services requests the following notice be placed on your derivative: Based on Commonwealth of Australia (Department of Social Services) data.</w:t>
      </w:r>
    </w:p>
    <w:p w14:paraId="262EEB19" w14:textId="77777777" w:rsidR="00F037D3" w:rsidRDefault="00F037D3" w:rsidP="00F037D3">
      <w:pPr>
        <w:pStyle w:val="ListNumber"/>
      </w:pPr>
      <w:r w:rsidRPr="00F037D3">
        <w:t xml:space="preserve">Inquiries regarding this licence or any other use of this document are welcome. Please contact: Branch Manager, Communication and Media Branch, Department of Social Services. Email: communications@dss.gov.au Phone: 1300 653 227. </w:t>
      </w:r>
    </w:p>
    <w:p w14:paraId="70FDDD3E" w14:textId="77777777" w:rsidR="00F037D3" w:rsidRPr="00EF0CF9" w:rsidRDefault="00F037D3" w:rsidP="00F037D3">
      <w:pPr>
        <w:pStyle w:val="ListNumber"/>
        <w:numPr>
          <w:ilvl w:val="0"/>
          <w:numId w:val="0"/>
        </w:numPr>
        <w:rPr>
          <w:rStyle w:val="BoldCharacter"/>
        </w:rPr>
      </w:pPr>
      <w:r w:rsidRPr="00EF0CF9">
        <w:rPr>
          <w:rStyle w:val="BoldCharacter"/>
        </w:rPr>
        <w:t>Notice identifying other material or rights in this publication:</w:t>
      </w:r>
    </w:p>
    <w:p w14:paraId="561D9872" w14:textId="77777777" w:rsidR="00E80011" w:rsidRPr="00EF0CF9" w:rsidRDefault="00F037D3" w:rsidP="00E80011">
      <w:pPr>
        <w:pStyle w:val="ListNumber"/>
        <w:numPr>
          <w:ilvl w:val="6"/>
          <w:numId w:val="32"/>
        </w:numPr>
        <w:rPr>
          <w:rStyle w:val="Hyperlink"/>
          <w:color w:val="auto"/>
          <w:u w:val="none"/>
        </w:rPr>
      </w:pPr>
      <w:r w:rsidRPr="00F037D3">
        <w:t xml:space="preserve">Australian Commonwealth Coat of Arms—not Licensed under Creative Commons, see </w:t>
      </w:r>
      <w:hyperlink r:id="rId10" w:history="1">
        <w:r w:rsidR="00E80011" w:rsidRPr="009D3727">
          <w:rPr>
            <w:rStyle w:val="Hyperlink"/>
          </w:rPr>
          <w:t>https://www.itsanhonour.gov.au/coat-arms/index.cfm</w:t>
        </w:r>
      </w:hyperlink>
    </w:p>
    <w:p w14:paraId="486E303F" w14:textId="77777777" w:rsidR="00EF0CF9" w:rsidRPr="000F45CC" w:rsidRDefault="00EF0CF9" w:rsidP="00EF0CF9">
      <w:pPr>
        <w:pStyle w:val="ListNumber"/>
      </w:pPr>
      <w:r w:rsidRPr="00EF0CF9">
        <w:t>Certain images and photographs (as marked)—not l</w:t>
      </w:r>
      <w:r>
        <w:t>icensed under Creative Commons.</w:t>
      </w:r>
    </w:p>
    <w:p w14:paraId="463DAAC4" w14:textId="77777777" w:rsidR="001B758D" w:rsidRDefault="00737D9E" w:rsidP="00547720">
      <w:pPr>
        <w:pStyle w:val="BodyText"/>
        <w:rPr>
          <w:rStyle w:val="BoldCharacter"/>
        </w:rPr>
      </w:pPr>
      <w:r>
        <w:rPr>
          <w:rStyle w:val="BoldCharacter"/>
        </w:rPr>
        <w:br w:type="page"/>
      </w:r>
    </w:p>
    <w:p w14:paraId="46CCFECA" w14:textId="77777777" w:rsidR="001B758D" w:rsidRPr="001B758D" w:rsidRDefault="001B758D" w:rsidP="00837F53">
      <w:pPr>
        <w:pStyle w:val="BodyText"/>
      </w:pPr>
      <w:r w:rsidRPr="001B758D">
        <w:lastRenderedPageBreak/>
        <w:t xml:space="preserve">MESSAGE FROM THE PRIME MINISTER  </w:t>
      </w:r>
    </w:p>
    <w:p w14:paraId="41576034" w14:textId="77777777" w:rsidR="001B758D" w:rsidRPr="001B758D" w:rsidRDefault="001B758D" w:rsidP="00837F53">
      <w:pPr>
        <w:pStyle w:val="BodyText"/>
      </w:pPr>
      <w:r w:rsidRPr="001B758D">
        <w:t>PRIME MINISTER’S COMMUNITY BUSINESS PARTNERSHIP ANNUAL REPORT 2015</w:t>
      </w:r>
    </w:p>
    <w:p w14:paraId="5012760B" w14:textId="77777777" w:rsidR="001B758D" w:rsidRPr="001B758D" w:rsidRDefault="001B758D" w:rsidP="00837F53">
      <w:pPr>
        <w:pStyle w:val="BodyText"/>
      </w:pPr>
      <w:r w:rsidRPr="001B758D">
        <w:t xml:space="preserve">The impulse to give for the benefit of others is at the heart of Australian society – it’s how we express our common humanity and is a critically important part of our social cohesion.  </w:t>
      </w:r>
    </w:p>
    <w:p w14:paraId="6F4764F3" w14:textId="77777777" w:rsidR="001B758D" w:rsidRPr="001B758D" w:rsidRDefault="001B758D" w:rsidP="00837F53">
      <w:pPr>
        <w:pStyle w:val="BodyText"/>
      </w:pPr>
      <w:r w:rsidRPr="001B758D">
        <w:t xml:space="preserve">Philanthropy is a personal commitment given by someone out of the most basic instinct of all – love.  </w:t>
      </w:r>
    </w:p>
    <w:p w14:paraId="20F8C021" w14:textId="77777777" w:rsidR="001B758D" w:rsidRPr="001B758D" w:rsidRDefault="001B758D" w:rsidP="00837F53">
      <w:pPr>
        <w:pStyle w:val="BodyText"/>
      </w:pPr>
      <w:r w:rsidRPr="001B758D">
        <w:t xml:space="preserve">And from the point of view of the recipient, philanthropy builds a community of advocates because every donor is a potential spokesperson, advocate and ambassador.  </w:t>
      </w:r>
    </w:p>
    <w:p w14:paraId="01EF8397" w14:textId="77777777" w:rsidR="001B758D" w:rsidRPr="001B758D" w:rsidRDefault="001B758D" w:rsidP="00837F53">
      <w:pPr>
        <w:pStyle w:val="BodyText"/>
      </w:pPr>
      <w:r w:rsidRPr="001B758D">
        <w:t xml:space="preserve">Yet, burdensome red tape, barriers to technology, and untapped resources and expertise are hindering a strong culture of social innovation and giving.  </w:t>
      </w:r>
    </w:p>
    <w:p w14:paraId="5C97E3E9" w14:textId="77777777" w:rsidR="001B758D" w:rsidRPr="001B758D" w:rsidRDefault="001B758D" w:rsidP="00837F53">
      <w:pPr>
        <w:pStyle w:val="BodyText"/>
      </w:pPr>
      <w:r w:rsidRPr="001B758D">
        <w:t>To overcome this, philanthropic organisations need to be more innovative and agile, and more responsive to emerging trends.</w:t>
      </w:r>
    </w:p>
    <w:p w14:paraId="4A0F5A5B" w14:textId="77777777" w:rsidR="001B758D" w:rsidRPr="001B758D" w:rsidRDefault="001B758D" w:rsidP="00837F53">
      <w:pPr>
        <w:pStyle w:val="BodyText"/>
      </w:pPr>
      <w:r w:rsidRPr="001B758D">
        <w:t xml:space="preserve">Governments too must do their part by advancing responsible reforms to allow the sector to devote more time to its core work.  </w:t>
      </w:r>
    </w:p>
    <w:p w14:paraId="4A0A3770" w14:textId="77777777" w:rsidR="001B758D" w:rsidRPr="001B758D" w:rsidRDefault="001B758D" w:rsidP="00837F53">
      <w:pPr>
        <w:pStyle w:val="BodyText"/>
      </w:pPr>
      <w:r w:rsidRPr="001B758D">
        <w:t xml:space="preserve">The leadership of the Community Business Partnership is crucial to overcoming these constraints, and fostering a spirit of service and generosity.  </w:t>
      </w:r>
    </w:p>
    <w:p w14:paraId="04FDB07D" w14:textId="77777777" w:rsidR="001B758D" w:rsidRPr="001B758D" w:rsidRDefault="001B758D" w:rsidP="00837F53">
      <w:pPr>
        <w:pStyle w:val="BodyText"/>
      </w:pPr>
      <w:r w:rsidRPr="001B758D">
        <w:t>As Chair, I look forward to changes that will allow more Australians to lend a hand through giving and philanthrop</w:t>
      </w:r>
      <w:r w:rsidR="00472C86">
        <w:t>y.</w:t>
      </w:r>
    </w:p>
    <w:p w14:paraId="13685500" w14:textId="77777777" w:rsidR="001B758D" w:rsidRDefault="001B758D" w:rsidP="00E80011">
      <w:pPr>
        <w:pStyle w:val="BodyBold"/>
        <w:spacing w:after="0"/>
      </w:pPr>
      <w:r w:rsidRPr="001B758D">
        <w:t xml:space="preserve">The Hon Malcolm Turnbull MP </w:t>
      </w:r>
    </w:p>
    <w:p w14:paraId="24918D36" w14:textId="77777777" w:rsidR="001B758D" w:rsidRPr="001B758D" w:rsidRDefault="001B758D" w:rsidP="00837F53">
      <w:pPr>
        <w:pStyle w:val="BodyText"/>
      </w:pPr>
      <w:r w:rsidRPr="001B758D">
        <w:t xml:space="preserve">Prime Minister of Australia </w:t>
      </w:r>
    </w:p>
    <w:p w14:paraId="7EE30A89" w14:textId="77777777" w:rsidR="001B758D" w:rsidRPr="001B758D" w:rsidRDefault="001B758D" w:rsidP="00837F53">
      <w:pPr>
        <w:pStyle w:val="BodyText"/>
      </w:pPr>
      <w:r w:rsidRPr="001B758D">
        <w:t>23 March 2016</w:t>
      </w:r>
    </w:p>
    <w:p w14:paraId="67181344" w14:textId="77777777" w:rsidR="00F037D3" w:rsidRPr="00F037D3" w:rsidRDefault="00F037D3" w:rsidP="001B758D">
      <w:pPr>
        <w:pStyle w:val="BodyText"/>
        <w:rPr>
          <w:rStyle w:val="BoldCharacter"/>
          <w:b w:val="0"/>
        </w:rPr>
      </w:pPr>
      <w:r w:rsidRPr="00F037D3">
        <w:rPr>
          <w:rStyle w:val="BoldCharacter"/>
          <w:b w:val="0"/>
        </w:rPr>
        <w:br w:type="page"/>
      </w:r>
    </w:p>
    <w:p w14:paraId="21A80E51" w14:textId="77777777" w:rsidR="00C636DA" w:rsidRDefault="00C636DA" w:rsidP="00870BC6">
      <w:pPr>
        <w:pStyle w:val="Spacer"/>
      </w:pPr>
    </w:p>
    <w:p w14:paraId="473A0182" w14:textId="77777777" w:rsidR="00C636DA" w:rsidRPr="00F037D3" w:rsidRDefault="00C636DA" w:rsidP="00F037D3">
      <w:pPr>
        <w:pStyle w:val="TOCHeading"/>
      </w:pPr>
      <w:r w:rsidRPr="00F037D3">
        <w:t>Contents</w:t>
      </w:r>
    </w:p>
    <w:p w14:paraId="1758A807" w14:textId="77777777" w:rsidR="00CB7582" w:rsidRDefault="001B758D">
      <w:pPr>
        <w:pStyle w:val="TOC1"/>
        <w:rPr>
          <w:rFonts w:asciiTheme="minorHAnsi" w:eastAsiaTheme="minorEastAsia" w:hAnsiTheme="minorHAnsi"/>
          <w:noProof/>
          <w:color w:val="auto"/>
          <w:sz w:val="22"/>
          <w:szCs w:val="22"/>
          <w:lang w:eastAsia="en-AU"/>
        </w:rPr>
      </w:pPr>
      <w:r>
        <w:rPr>
          <w:spacing w:val="-20"/>
        </w:rPr>
        <w:fldChar w:fldCharType="begin"/>
      </w:r>
      <w:r>
        <w:rPr>
          <w:spacing w:val="-20"/>
        </w:rPr>
        <w:instrText xml:space="preserve"> TOC \h \z \t "Heading 1,1,Notes Heading - Level 1,1,Outcome Heading,2,Notes Heading - Level 2,1" </w:instrText>
      </w:r>
      <w:r>
        <w:rPr>
          <w:spacing w:val="-20"/>
        </w:rPr>
        <w:fldChar w:fldCharType="separate"/>
      </w:r>
      <w:hyperlink w:anchor="_Toc447200367" w:history="1">
        <w:r w:rsidR="00CB7582" w:rsidRPr="004173F0">
          <w:rPr>
            <w:rStyle w:val="Hyperlink"/>
            <w:noProof/>
          </w:rPr>
          <w:t>About the Partnership</w:t>
        </w:r>
        <w:r w:rsidR="00CB7582">
          <w:rPr>
            <w:noProof/>
            <w:webHidden/>
          </w:rPr>
          <w:tab/>
        </w:r>
        <w:r w:rsidR="00CB7582">
          <w:rPr>
            <w:noProof/>
            <w:webHidden/>
          </w:rPr>
          <w:fldChar w:fldCharType="begin"/>
        </w:r>
        <w:r w:rsidR="00CB7582">
          <w:rPr>
            <w:noProof/>
            <w:webHidden/>
          </w:rPr>
          <w:instrText xml:space="preserve"> PAGEREF _Toc447200367 \h </w:instrText>
        </w:r>
        <w:r w:rsidR="00CB7582">
          <w:rPr>
            <w:noProof/>
            <w:webHidden/>
          </w:rPr>
        </w:r>
        <w:r w:rsidR="00CB7582">
          <w:rPr>
            <w:noProof/>
            <w:webHidden/>
          </w:rPr>
          <w:fldChar w:fldCharType="separate"/>
        </w:r>
        <w:r w:rsidR="00CB7582">
          <w:rPr>
            <w:noProof/>
            <w:webHidden/>
          </w:rPr>
          <w:t>5</w:t>
        </w:r>
        <w:r w:rsidR="00CB7582">
          <w:rPr>
            <w:noProof/>
            <w:webHidden/>
          </w:rPr>
          <w:fldChar w:fldCharType="end"/>
        </w:r>
      </w:hyperlink>
    </w:p>
    <w:p w14:paraId="3F32D92D" w14:textId="77777777" w:rsidR="00CB7582" w:rsidRDefault="00E76738">
      <w:pPr>
        <w:pStyle w:val="TOC1"/>
        <w:rPr>
          <w:rFonts w:asciiTheme="minorHAnsi" w:eastAsiaTheme="minorEastAsia" w:hAnsiTheme="minorHAnsi"/>
          <w:noProof/>
          <w:color w:val="auto"/>
          <w:sz w:val="22"/>
          <w:szCs w:val="22"/>
          <w:lang w:eastAsia="en-AU"/>
        </w:rPr>
      </w:pPr>
      <w:hyperlink w:anchor="_Toc447200368" w:history="1">
        <w:r w:rsidR="00CB7582" w:rsidRPr="004173F0">
          <w:rPr>
            <w:rStyle w:val="Hyperlink"/>
            <w:noProof/>
          </w:rPr>
          <w:t>Highlights</w:t>
        </w:r>
        <w:r w:rsidR="00CB7582">
          <w:rPr>
            <w:noProof/>
            <w:webHidden/>
          </w:rPr>
          <w:tab/>
        </w:r>
        <w:r w:rsidR="00CB7582">
          <w:rPr>
            <w:noProof/>
            <w:webHidden/>
          </w:rPr>
          <w:fldChar w:fldCharType="begin"/>
        </w:r>
        <w:r w:rsidR="00CB7582">
          <w:rPr>
            <w:noProof/>
            <w:webHidden/>
          </w:rPr>
          <w:instrText xml:space="preserve"> PAGEREF _Toc447200368 \h </w:instrText>
        </w:r>
        <w:r w:rsidR="00CB7582">
          <w:rPr>
            <w:noProof/>
            <w:webHidden/>
          </w:rPr>
        </w:r>
        <w:r w:rsidR="00CB7582">
          <w:rPr>
            <w:noProof/>
            <w:webHidden/>
          </w:rPr>
          <w:fldChar w:fldCharType="separate"/>
        </w:r>
        <w:r w:rsidR="00CB7582">
          <w:rPr>
            <w:noProof/>
            <w:webHidden/>
          </w:rPr>
          <w:t>6</w:t>
        </w:r>
        <w:r w:rsidR="00CB7582">
          <w:rPr>
            <w:noProof/>
            <w:webHidden/>
          </w:rPr>
          <w:fldChar w:fldCharType="end"/>
        </w:r>
      </w:hyperlink>
    </w:p>
    <w:p w14:paraId="1CC27BE0" w14:textId="77777777" w:rsidR="00CB7582" w:rsidRDefault="00E76738">
      <w:pPr>
        <w:pStyle w:val="TOC1"/>
        <w:rPr>
          <w:rFonts w:asciiTheme="minorHAnsi" w:eastAsiaTheme="minorEastAsia" w:hAnsiTheme="minorHAnsi"/>
          <w:noProof/>
          <w:color w:val="auto"/>
          <w:sz w:val="22"/>
          <w:szCs w:val="22"/>
          <w:lang w:eastAsia="en-AU"/>
        </w:rPr>
      </w:pPr>
      <w:hyperlink w:anchor="_Toc447200369" w:history="1">
        <w:r w:rsidR="00CB7582" w:rsidRPr="004173F0">
          <w:rPr>
            <w:rStyle w:val="Hyperlink"/>
            <w:noProof/>
            <w:lang w:val="en-GB"/>
          </w:rPr>
          <w:t>Snapshot of 2015</w:t>
        </w:r>
        <w:r w:rsidR="00CB7582">
          <w:rPr>
            <w:noProof/>
            <w:webHidden/>
          </w:rPr>
          <w:tab/>
        </w:r>
        <w:r w:rsidR="00CB7582">
          <w:rPr>
            <w:noProof/>
            <w:webHidden/>
          </w:rPr>
          <w:fldChar w:fldCharType="begin"/>
        </w:r>
        <w:r w:rsidR="00CB7582">
          <w:rPr>
            <w:noProof/>
            <w:webHidden/>
          </w:rPr>
          <w:instrText xml:space="preserve"> PAGEREF _Toc447200369 \h </w:instrText>
        </w:r>
        <w:r w:rsidR="00CB7582">
          <w:rPr>
            <w:noProof/>
            <w:webHidden/>
          </w:rPr>
        </w:r>
        <w:r w:rsidR="00CB7582">
          <w:rPr>
            <w:noProof/>
            <w:webHidden/>
          </w:rPr>
          <w:fldChar w:fldCharType="separate"/>
        </w:r>
        <w:r w:rsidR="00CB7582">
          <w:rPr>
            <w:noProof/>
            <w:webHidden/>
          </w:rPr>
          <w:t>7</w:t>
        </w:r>
        <w:r w:rsidR="00CB7582">
          <w:rPr>
            <w:noProof/>
            <w:webHidden/>
          </w:rPr>
          <w:fldChar w:fldCharType="end"/>
        </w:r>
      </w:hyperlink>
    </w:p>
    <w:p w14:paraId="6C1702C2" w14:textId="77777777" w:rsidR="00CB7582" w:rsidRDefault="00E76738">
      <w:pPr>
        <w:pStyle w:val="TOC1"/>
        <w:rPr>
          <w:rFonts w:asciiTheme="minorHAnsi" w:eastAsiaTheme="minorEastAsia" w:hAnsiTheme="minorHAnsi"/>
          <w:noProof/>
          <w:color w:val="auto"/>
          <w:sz w:val="22"/>
          <w:szCs w:val="22"/>
          <w:lang w:eastAsia="en-AU"/>
        </w:rPr>
      </w:pPr>
      <w:hyperlink w:anchor="_Toc447200370" w:history="1">
        <w:r w:rsidR="00CB7582" w:rsidRPr="004173F0">
          <w:rPr>
            <w:rStyle w:val="Hyperlink"/>
            <w:noProof/>
          </w:rPr>
          <w:t>Aspirations for 2016</w:t>
        </w:r>
        <w:r w:rsidR="00CB7582">
          <w:rPr>
            <w:noProof/>
            <w:webHidden/>
          </w:rPr>
          <w:tab/>
        </w:r>
        <w:r w:rsidR="00CB7582">
          <w:rPr>
            <w:noProof/>
            <w:webHidden/>
          </w:rPr>
          <w:fldChar w:fldCharType="begin"/>
        </w:r>
        <w:r w:rsidR="00CB7582">
          <w:rPr>
            <w:noProof/>
            <w:webHidden/>
          </w:rPr>
          <w:instrText xml:space="preserve"> PAGEREF _Toc447200370 \h </w:instrText>
        </w:r>
        <w:r w:rsidR="00CB7582">
          <w:rPr>
            <w:noProof/>
            <w:webHidden/>
          </w:rPr>
        </w:r>
        <w:r w:rsidR="00CB7582">
          <w:rPr>
            <w:noProof/>
            <w:webHidden/>
          </w:rPr>
          <w:fldChar w:fldCharType="separate"/>
        </w:r>
        <w:r w:rsidR="00CB7582">
          <w:rPr>
            <w:noProof/>
            <w:webHidden/>
          </w:rPr>
          <w:t>10</w:t>
        </w:r>
        <w:r w:rsidR="00CB7582">
          <w:rPr>
            <w:noProof/>
            <w:webHidden/>
          </w:rPr>
          <w:fldChar w:fldCharType="end"/>
        </w:r>
      </w:hyperlink>
    </w:p>
    <w:p w14:paraId="49D1CA22" w14:textId="77777777" w:rsidR="00CB7582" w:rsidRDefault="00E76738">
      <w:pPr>
        <w:pStyle w:val="TOC1"/>
        <w:rPr>
          <w:rFonts w:asciiTheme="minorHAnsi" w:eastAsiaTheme="minorEastAsia" w:hAnsiTheme="minorHAnsi"/>
          <w:noProof/>
          <w:color w:val="auto"/>
          <w:sz w:val="22"/>
          <w:szCs w:val="22"/>
          <w:lang w:eastAsia="en-AU"/>
        </w:rPr>
      </w:pPr>
      <w:hyperlink w:anchor="_Toc447200371" w:history="1">
        <w:r w:rsidR="00CB7582" w:rsidRPr="004173F0">
          <w:rPr>
            <w:rStyle w:val="Hyperlink"/>
            <w:noProof/>
          </w:rPr>
          <w:t>Partnership working groups</w:t>
        </w:r>
        <w:r w:rsidR="00CB7582">
          <w:rPr>
            <w:noProof/>
            <w:webHidden/>
          </w:rPr>
          <w:tab/>
        </w:r>
        <w:r w:rsidR="00CB7582">
          <w:rPr>
            <w:noProof/>
            <w:webHidden/>
          </w:rPr>
          <w:fldChar w:fldCharType="begin"/>
        </w:r>
        <w:r w:rsidR="00CB7582">
          <w:rPr>
            <w:noProof/>
            <w:webHidden/>
          </w:rPr>
          <w:instrText xml:space="preserve"> PAGEREF _Toc447200371 \h </w:instrText>
        </w:r>
        <w:r w:rsidR="00CB7582">
          <w:rPr>
            <w:noProof/>
            <w:webHidden/>
          </w:rPr>
        </w:r>
        <w:r w:rsidR="00CB7582">
          <w:rPr>
            <w:noProof/>
            <w:webHidden/>
          </w:rPr>
          <w:fldChar w:fldCharType="separate"/>
        </w:r>
        <w:r w:rsidR="00CB7582">
          <w:rPr>
            <w:noProof/>
            <w:webHidden/>
          </w:rPr>
          <w:t>12</w:t>
        </w:r>
        <w:r w:rsidR="00CB7582">
          <w:rPr>
            <w:noProof/>
            <w:webHidden/>
          </w:rPr>
          <w:fldChar w:fldCharType="end"/>
        </w:r>
      </w:hyperlink>
    </w:p>
    <w:p w14:paraId="1044455C" w14:textId="77777777" w:rsidR="00CB7582" w:rsidRDefault="00E76738">
      <w:pPr>
        <w:pStyle w:val="TOC1"/>
        <w:rPr>
          <w:rFonts w:asciiTheme="minorHAnsi" w:eastAsiaTheme="minorEastAsia" w:hAnsiTheme="minorHAnsi"/>
          <w:noProof/>
          <w:color w:val="auto"/>
          <w:sz w:val="22"/>
          <w:szCs w:val="22"/>
          <w:lang w:eastAsia="en-AU"/>
        </w:rPr>
      </w:pPr>
      <w:hyperlink w:anchor="_Toc447200372" w:history="1">
        <w:r w:rsidR="00CB7582" w:rsidRPr="004173F0">
          <w:rPr>
            <w:rStyle w:val="Hyperlink"/>
            <w:noProof/>
          </w:rPr>
          <w:t>Giving Australia 2016</w:t>
        </w:r>
        <w:r w:rsidR="00CB7582">
          <w:rPr>
            <w:noProof/>
            <w:webHidden/>
          </w:rPr>
          <w:tab/>
        </w:r>
        <w:r w:rsidR="00CB7582">
          <w:rPr>
            <w:noProof/>
            <w:webHidden/>
          </w:rPr>
          <w:fldChar w:fldCharType="begin"/>
        </w:r>
        <w:r w:rsidR="00CB7582">
          <w:rPr>
            <w:noProof/>
            <w:webHidden/>
          </w:rPr>
          <w:instrText xml:space="preserve"> PAGEREF _Toc447200372 \h </w:instrText>
        </w:r>
        <w:r w:rsidR="00CB7582">
          <w:rPr>
            <w:noProof/>
            <w:webHidden/>
          </w:rPr>
        </w:r>
        <w:r w:rsidR="00CB7582">
          <w:rPr>
            <w:noProof/>
            <w:webHidden/>
          </w:rPr>
          <w:fldChar w:fldCharType="separate"/>
        </w:r>
        <w:r w:rsidR="00CB7582">
          <w:rPr>
            <w:noProof/>
            <w:webHidden/>
          </w:rPr>
          <w:t>18</w:t>
        </w:r>
        <w:r w:rsidR="00CB7582">
          <w:rPr>
            <w:noProof/>
            <w:webHidden/>
          </w:rPr>
          <w:fldChar w:fldCharType="end"/>
        </w:r>
      </w:hyperlink>
    </w:p>
    <w:p w14:paraId="26258715" w14:textId="77777777" w:rsidR="00CB7582" w:rsidRDefault="00E76738">
      <w:pPr>
        <w:pStyle w:val="TOC1"/>
        <w:rPr>
          <w:rFonts w:asciiTheme="minorHAnsi" w:eastAsiaTheme="minorEastAsia" w:hAnsiTheme="minorHAnsi"/>
          <w:noProof/>
          <w:color w:val="auto"/>
          <w:sz w:val="22"/>
          <w:szCs w:val="22"/>
          <w:lang w:eastAsia="en-AU"/>
        </w:rPr>
      </w:pPr>
      <w:hyperlink w:anchor="_Toc447200373" w:history="1">
        <w:r w:rsidR="00CB7582" w:rsidRPr="004173F0">
          <w:rPr>
            <w:rStyle w:val="Hyperlink"/>
            <w:noProof/>
          </w:rPr>
          <w:t>Community collaboration</w:t>
        </w:r>
        <w:r w:rsidR="00CB7582">
          <w:rPr>
            <w:noProof/>
            <w:webHidden/>
          </w:rPr>
          <w:tab/>
        </w:r>
        <w:r w:rsidR="00CB7582">
          <w:rPr>
            <w:noProof/>
            <w:webHidden/>
          </w:rPr>
          <w:fldChar w:fldCharType="begin"/>
        </w:r>
        <w:r w:rsidR="00CB7582">
          <w:rPr>
            <w:noProof/>
            <w:webHidden/>
          </w:rPr>
          <w:instrText xml:space="preserve"> PAGEREF _Toc447200373 \h </w:instrText>
        </w:r>
        <w:r w:rsidR="00CB7582">
          <w:rPr>
            <w:noProof/>
            <w:webHidden/>
          </w:rPr>
        </w:r>
        <w:r w:rsidR="00CB7582">
          <w:rPr>
            <w:noProof/>
            <w:webHidden/>
          </w:rPr>
          <w:fldChar w:fldCharType="separate"/>
        </w:r>
        <w:r w:rsidR="00CB7582">
          <w:rPr>
            <w:noProof/>
            <w:webHidden/>
          </w:rPr>
          <w:t>20</w:t>
        </w:r>
        <w:r w:rsidR="00CB7582">
          <w:rPr>
            <w:noProof/>
            <w:webHidden/>
          </w:rPr>
          <w:fldChar w:fldCharType="end"/>
        </w:r>
      </w:hyperlink>
    </w:p>
    <w:p w14:paraId="08BBEE00" w14:textId="77777777" w:rsidR="00CB7582" w:rsidRDefault="00E76738">
      <w:pPr>
        <w:pStyle w:val="TOC1"/>
        <w:rPr>
          <w:rFonts w:asciiTheme="minorHAnsi" w:eastAsiaTheme="minorEastAsia" w:hAnsiTheme="minorHAnsi"/>
          <w:noProof/>
          <w:color w:val="auto"/>
          <w:sz w:val="22"/>
          <w:szCs w:val="22"/>
          <w:lang w:eastAsia="en-AU"/>
        </w:rPr>
      </w:pPr>
      <w:hyperlink w:anchor="_Toc447200374" w:history="1">
        <w:r w:rsidR="00CB7582" w:rsidRPr="004173F0">
          <w:rPr>
            <w:rStyle w:val="Hyperlink"/>
            <w:noProof/>
          </w:rPr>
          <w:t>Engagement</w:t>
        </w:r>
        <w:r w:rsidR="00CB7582">
          <w:rPr>
            <w:noProof/>
            <w:webHidden/>
          </w:rPr>
          <w:tab/>
        </w:r>
        <w:r w:rsidR="00CB7582">
          <w:rPr>
            <w:noProof/>
            <w:webHidden/>
          </w:rPr>
          <w:fldChar w:fldCharType="begin"/>
        </w:r>
        <w:r w:rsidR="00CB7582">
          <w:rPr>
            <w:noProof/>
            <w:webHidden/>
          </w:rPr>
          <w:instrText xml:space="preserve"> PAGEREF _Toc447200374 \h </w:instrText>
        </w:r>
        <w:r w:rsidR="00CB7582">
          <w:rPr>
            <w:noProof/>
            <w:webHidden/>
          </w:rPr>
        </w:r>
        <w:r w:rsidR="00CB7582">
          <w:rPr>
            <w:noProof/>
            <w:webHidden/>
          </w:rPr>
          <w:fldChar w:fldCharType="separate"/>
        </w:r>
        <w:r w:rsidR="00CB7582">
          <w:rPr>
            <w:noProof/>
            <w:webHidden/>
          </w:rPr>
          <w:t>21</w:t>
        </w:r>
        <w:r w:rsidR="00CB7582">
          <w:rPr>
            <w:noProof/>
            <w:webHidden/>
          </w:rPr>
          <w:fldChar w:fldCharType="end"/>
        </w:r>
      </w:hyperlink>
    </w:p>
    <w:p w14:paraId="2CA62069" w14:textId="77777777" w:rsidR="00CB7582" w:rsidRDefault="00E76738">
      <w:pPr>
        <w:pStyle w:val="TOC1"/>
        <w:rPr>
          <w:rFonts w:asciiTheme="minorHAnsi" w:eastAsiaTheme="minorEastAsia" w:hAnsiTheme="minorHAnsi"/>
          <w:noProof/>
          <w:color w:val="auto"/>
          <w:sz w:val="22"/>
          <w:szCs w:val="22"/>
          <w:lang w:eastAsia="en-AU"/>
        </w:rPr>
      </w:pPr>
      <w:hyperlink w:anchor="_Toc447200375" w:history="1">
        <w:r w:rsidR="00CB7582" w:rsidRPr="004173F0">
          <w:rPr>
            <w:rStyle w:val="Hyperlink"/>
            <w:noProof/>
          </w:rPr>
          <w:t>Partnership operations</w:t>
        </w:r>
        <w:r w:rsidR="00CB7582">
          <w:rPr>
            <w:noProof/>
            <w:webHidden/>
          </w:rPr>
          <w:tab/>
        </w:r>
        <w:r w:rsidR="00CB7582">
          <w:rPr>
            <w:noProof/>
            <w:webHidden/>
          </w:rPr>
          <w:fldChar w:fldCharType="begin"/>
        </w:r>
        <w:r w:rsidR="00CB7582">
          <w:rPr>
            <w:noProof/>
            <w:webHidden/>
          </w:rPr>
          <w:instrText xml:space="preserve"> PAGEREF _Toc447200375 \h </w:instrText>
        </w:r>
        <w:r w:rsidR="00CB7582">
          <w:rPr>
            <w:noProof/>
            <w:webHidden/>
          </w:rPr>
        </w:r>
        <w:r w:rsidR="00CB7582">
          <w:rPr>
            <w:noProof/>
            <w:webHidden/>
          </w:rPr>
          <w:fldChar w:fldCharType="separate"/>
        </w:r>
        <w:r w:rsidR="00CB7582">
          <w:rPr>
            <w:noProof/>
            <w:webHidden/>
          </w:rPr>
          <w:t>25</w:t>
        </w:r>
        <w:r w:rsidR="00CB7582">
          <w:rPr>
            <w:noProof/>
            <w:webHidden/>
          </w:rPr>
          <w:fldChar w:fldCharType="end"/>
        </w:r>
      </w:hyperlink>
    </w:p>
    <w:p w14:paraId="7C362EA3" w14:textId="77777777" w:rsidR="00CB7582" w:rsidRDefault="00E76738">
      <w:pPr>
        <w:pStyle w:val="TOC1"/>
        <w:rPr>
          <w:rFonts w:asciiTheme="minorHAnsi" w:eastAsiaTheme="minorEastAsia" w:hAnsiTheme="minorHAnsi"/>
          <w:noProof/>
          <w:color w:val="auto"/>
          <w:sz w:val="22"/>
          <w:szCs w:val="22"/>
          <w:lang w:eastAsia="en-AU"/>
        </w:rPr>
      </w:pPr>
      <w:hyperlink w:anchor="_Toc447200376" w:history="1">
        <w:r w:rsidR="00CB7582" w:rsidRPr="004173F0">
          <w:rPr>
            <w:rStyle w:val="Hyperlink"/>
            <w:noProof/>
          </w:rPr>
          <w:t>Appendix A: Terms of Reference</w:t>
        </w:r>
        <w:r w:rsidR="00CB7582">
          <w:rPr>
            <w:noProof/>
            <w:webHidden/>
          </w:rPr>
          <w:tab/>
        </w:r>
        <w:r w:rsidR="00CB7582">
          <w:rPr>
            <w:noProof/>
            <w:webHidden/>
          </w:rPr>
          <w:fldChar w:fldCharType="begin"/>
        </w:r>
        <w:r w:rsidR="00CB7582">
          <w:rPr>
            <w:noProof/>
            <w:webHidden/>
          </w:rPr>
          <w:instrText xml:space="preserve"> PAGEREF _Toc447200376 \h </w:instrText>
        </w:r>
        <w:r w:rsidR="00CB7582">
          <w:rPr>
            <w:noProof/>
            <w:webHidden/>
          </w:rPr>
        </w:r>
        <w:r w:rsidR="00CB7582">
          <w:rPr>
            <w:noProof/>
            <w:webHidden/>
          </w:rPr>
          <w:fldChar w:fldCharType="separate"/>
        </w:r>
        <w:r w:rsidR="00CB7582">
          <w:rPr>
            <w:noProof/>
            <w:webHidden/>
          </w:rPr>
          <w:t>27</w:t>
        </w:r>
        <w:r w:rsidR="00CB7582">
          <w:rPr>
            <w:noProof/>
            <w:webHidden/>
          </w:rPr>
          <w:fldChar w:fldCharType="end"/>
        </w:r>
      </w:hyperlink>
    </w:p>
    <w:p w14:paraId="45A822E5" w14:textId="77777777" w:rsidR="00CB7582" w:rsidRDefault="00E76738">
      <w:pPr>
        <w:pStyle w:val="TOC1"/>
        <w:rPr>
          <w:rFonts w:asciiTheme="minorHAnsi" w:eastAsiaTheme="minorEastAsia" w:hAnsiTheme="minorHAnsi"/>
          <w:noProof/>
          <w:color w:val="auto"/>
          <w:sz w:val="22"/>
          <w:szCs w:val="22"/>
          <w:lang w:eastAsia="en-AU"/>
        </w:rPr>
      </w:pPr>
      <w:hyperlink w:anchor="_Toc447200377" w:history="1">
        <w:r w:rsidR="00CB7582" w:rsidRPr="004173F0">
          <w:rPr>
            <w:rStyle w:val="Hyperlink"/>
            <w:noProof/>
          </w:rPr>
          <w:t>Appendix B: Members’ biographies</w:t>
        </w:r>
        <w:r w:rsidR="00CB7582">
          <w:rPr>
            <w:noProof/>
            <w:webHidden/>
          </w:rPr>
          <w:tab/>
        </w:r>
        <w:r w:rsidR="00CB7582">
          <w:rPr>
            <w:noProof/>
            <w:webHidden/>
          </w:rPr>
          <w:fldChar w:fldCharType="begin"/>
        </w:r>
        <w:r w:rsidR="00CB7582">
          <w:rPr>
            <w:noProof/>
            <w:webHidden/>
          </w:rPr>
          <w:instrText xml:space="preserve"> PAGEREF _Toc447200377 \h </w:instrText>
        </w:r>
        <w:r w:rsidR="00CB7582">
          <w:rPr>
            <w:noProof/>
            <w:webHidden/>
          </w:rPr>
        </w:r>
        <w:r w:rsidR="00CB7582">
          <w:rPr>
            <w:noProof/>
            <w:webHidden/>
          </w:rPr>
          <w:fldChar w:fldCharType="separate"/>
        </w:r>
        <w:r w:rsidR="00CB7582">
          <w:rPr>
            <w:noProof/>
            <w:webHidden/>
          </w:rPr>
          <w:t>28</w:t>
        </w:r>
        <w:r w:rsidR="00CB7582">
          <w:rPr>
            <w:noProof/>
            <w:webHidden/>
          </w:rPr>
          <w:fldChar w:fldCharType="end"/>
        </w:r>
      </w:hyperlink>
    </w:p>
    <w:p w14:paraId="5E4F7272" w14:textId="77777777" w:rsidR="0018235E" w:rsidRPr="00547720" w:rsidRDefault="001B758D" w:rsidP="00547720">
      <w:pPr>
        <w:pStyle w:val="BodyText"/>
      </w:pPr>
      <w:r>
        <w:rPr>
          <w:color w:val="000000" w:themeColor="text1"/>
          <w:spacing w:val="-20"/>
          <w:sz w:val="18"/>
        </w:rPr>
        <w:fldChar w:fldCharType="end"/>
      </w:r>
    </w:p>
    <w:p w14:paraId="28E675A7" w14:textId="77777777" w:rsidR="00F037D3" w:rsidRPr="00F037D3" w:rsidRDefault="0018235E" w:rsidP="00CB7582">
      <w:pPr>
        <w:pStyle w:val="Heading1"/>
      </w:pPr>
      <w:r w:rsidRPr="00547720">
        <w:br w:type="page"/>
      </w:r>
      <w:bookmarkStart w:id="0" w:name="_Toc447200367"/>
      <w:r w:rsidR="00F037D3" w:rsidRPr="00F037D3">
        <w:lastRenderedPageBreak/>
        <w:t>About the Partnership</w:t>
      </w:r>
      <w:bookmarkEnd w:id="0"/>
    </w:p>
    <w:p w14:paraId="2C3C5346" w14:textId="77777777" w:rsidR="00F037D3" w:rsidRPr="00F037D3" w:rsidRDefault="00F037D3" w:rsidP="00F037D3">
      <w:pPr>
        <w:pStyle w:val="BodyText"/>
      </w:pPr>
      <w:r w:rsidRPr="00F037D3">
        <w:t xml:space="preserve">The Prime Minister’s Community Business Partnership (the Partnership) brings together leaders from the business and community sectors with expertise in fundraising and volunteering, philanthropy, innovation and regulatory structures. </w:t>
      </w:r>
    </w:p>
    <w:p w14:paraId="21536279" w14:textId="77777777" w:rsidR="00F037D3" w:rsidRPr="00F037D3" w:rsidRDefault="00F037D3" w:rsidP="00F037D3">
      <w:pPr>
        <w:pStyle w:val="BodyText"/>
      </w:pPr>
      <w:r w:rsidRPr="00F037D3">
        <w:t>The Australian Government established the Partnership in October 2014 to advise on practical strategies to promote philanthropic giving, volunteering and investment in Australia, to strengthen communities.</w:t>
      </w:r>
    </w:p>
    <w:p w14:paraId="16F57EB9" w14:textId="77777777" w:rsidR="00F037D3" w:rsidRPr="00F037D3" w:rsidRDefault="00F037D3" w:rsidP="00F037D3">
      <w:pPr>
        <w:pStyle w:val="BodyText"/>
      </w:pPr>
      <w:r w:rsidRPr="00F037D3">
        <w:t>Priority areas are to:</w:t>
      </w:r>
    </w:p>
    <w:p w14:paraId="630B2C9D" w14:textId="77777777" w:rsidR="00F037D3" w:rsidRPr="00F037D3" w:rsidRDefault="00F037D3" w:rsidP="00F037D3">
      <w:pPr>
        <w:pStyle w:val="ListBullet"/>
      </w:pPr>
      <w:r w:rsidRPr="00F037D3">
        <w:t>eliminate institutional barriers to philanthropic giving</w:t>
      </w:r>
    </w:p>
    <w:p w14:paraId="3EBB5FB9" w14:textId="77777777" w:rsidR="00F037D3" w:rsidRPr="00F037D3" w:rsidRDefault="00F037D3" w:rsidP="00F037D3">
      <w:pPr>
        <w:pStyle w:val="ListBullet"/>
      </w:pPr>
      <w:r w:rsidRPr="00F037D3">
        <w:t>consider the potential of innovative investment models that support a culture of giving and service</w:t>
      </w:r>
    </w:p>
    <w:p w14:paraId="35540A22" w14:textId="77777777" w:rsidR="00F037D3" w:rsidRPr="00F037D3" w:rsidRDefault="00F037D3" w:rsidP="00F037D3">
      <w:pPr>
        <w:pStyle w:val="ListBullet"/>
      </w:pPr>
      <w:proofErr w:type="gramStart"/>
      <w:r w:rsidRPr="00F037D3">
        <w:t>identify</w:t>
      </w:r>
      <w:proofErr w:type="gramEnd"/>
      <w:r w:rsidRPr="00F037D3">
        <w:t xml:space="preserve"> trends and best practice in the sector. </w:t>
      </w:r>
    </w:p>
    <w:p w14:paraId="74159097" w14:textId="77777777" w:rsidR="0018235E" w:rsidRDefault="00F037D3" w:rsidP="00F037D3">
      <w:pPr>
        <w:pStyle w:val="BodyText"/>
      </w:pPr>
      <w:r w:rsidRPr="00F037D3">
        <w:t>The Terms of Reference are at Appendix A.</w:t>
      </w:r>
    </w:p>
    <w:p w14:paraId="7A58F3AD" w14:textId="77777777" w:rsidR="00F037D3" w:rsidRPr="00F037D3" w:rsidRDefault="00F037D3" w:rsidP="00F037D3">
      <w:pPr>
        <w:pStyle w:val="Italic"/>
      </w:pPr>
      <w:r w:rsidRPr="00F037D3">
        <w:t xml:space="preserve">I see the Partnership as the link between the sector and the government. If we can bring more of the knowledge from the sector to the government, then we’ll all work to achieve the same outcomes and we’ll do it a lot more effectively and efficiently. </w:t>
      </w:r>
    </w:p>
    <w:p w14:paraId="418939BF" w14:textId="77777777" w:rsidR="00F037D3" w:rsidRPr="00F037D3" w:rsidRDefault="00F037D3" w:rsidP="00E80011">
      <w:pPr>
        <w:pStyle w:val="BodyBold"/>
        <w:spacing w:after="0"/>
      </w:pPr>
      <w:r w:rsidRPr="00F037D3">
        <w:t xml:space="preserve">Kevin </w:t>
      </w:r>
      <w:r w:rsidRPr="00F037D3">
        <w:rPr>
          <w:rStyle w:val="BoldCharacter"/>
          <w:b/>
        </w:rPr>
        <w:t>Bailey</w:t>
      </w:r>
    </w:p>
    <w:p w14:paraId="48791EA4" w14:textId="77777777" w:rsidR="00F037D3" w:rsidRDefault="00F037D3" w:rsidP="00F037D3">
      <w:pPr>
        <w:pStyle w:val="BodyText"/>
      </w:pPr>
      <w:r w:rsidRPr="00F037D3">
        <w:t>Partnership member</w:t>
      </w:r>
    </w:p>
    <w:p w14:paraId="699953A4" w14:textId="77777777" w:rsidR="00F037D3" w:rsidRDefault="00F037D3" w:rsidP="00837F53">
      <w:pPr>
        <w:pStyle w:val="BodyText"/>
      </w:pPr>
      <w:r>
        <w:br w:type="page"/>
      </w:r>
    </w:p>
    <w:p w14:paraId="3A2AA128" w14:textId="77777777" w:rsidR="00F037D3" w:rsidRDefault="00F037D3" w:rsidP="00F037D3">
      <w:pPr>
        <w:pStyle w:val="Heading1"/>
      </w:pPr>
      <w:bookmarkStart w:id="1" w:name="_Toc447200368"/>
      <w:r w:rsidRPr="00F037D3">
        <w:lastRenderedPageBreak/>
        <w:t>Highlights</w:t>
      </w:r>
      <w:bookmarkEnd w:id="1"/>
    </w:p>
    <w:p w14:paraId="10754890" w14:textId="77777777" w:rsidR="00F037D3" w:rsidRDefault="00F037D3" w:rsidP="00EF0CF9">
      <w:pPr>
        <w:pStyle w:val="SubHeading"/>
      </w:pPr>
      <w:r w:rsidRPr="00F037D3">
        <w:t>Engagement</w:t>
      </w:r>
      <w:r>
        <w:t xml:space="preserve"> </w:t>
      </w:r>
      <w:r w:rsidRPr="00F037D3">
        <w:t xml:space="preserve">and </w:t>
      </w:r>
      <w:r w:rsidRPr="00EF0CF9">
        <w:t>consultation</w:t>
      </w:r>
    </w:p>
    <w:p w14:paraId="7E6D654B" w14:textId="77777777" w:rsidR="00F037D3" w:rsidRPr="00F037D3" w:rsidRDefault="00F037D3" w:rsidP="00F037D3">
      <w:pPr>
        <w:pStyle w:val="ListBullet"/>
      </w:pPr>
      <w:r w:rsidRPr="00F037D3">
        <w:t xml:space="preserve">Three Partnership meetings </w:t>
      </w:r>
    </w:p>
    <w:p w14:paraId="45D3FC29" w14:textId="77777777" w:rsidR="00F037D3" w:rsidRPr="00F037D3" w:rsidRDefault="00F037D3" w:rsidP="00F037D3">
      <w:pPr>
        <w:pStyle w:val="ListBullet"/>
      </w:pPr>
      <w:r w:rsidRPr="00F037D3">
        <w:t xml:space="preserve">12 roundtables with sector leaders </w:t>
      </w:r>
    </w:p>
    <w:p w14:paraId="707D8BEE" w14:textId="77777777" w:rsidR="00F037D3" w:rsidRPr="00F037D3" w:rsidRDefault="00F037D3" w:rsidP="00F037D3">
      <w:pPr>
        <w:pStyle w:val="ListBullet"/>
      </w:pPr>
      <w:r w:rsidRPr="00F037D3">
        <w:t>Regular working group meetings and discussions</w:t>
      </w:r>
    </w:p>
    <w:p w14:paraId="1B6E1DE7" w14:textId="77777777" w:rsidR="00F037D3" w:rsidRDefault="00F037D3" w:rsidP="00F037D3">
      <w:pPr>
        <w:pStyle w:val="ListBullet"/>
      </w:pPr>
      <w:r w:rsidRPr="00F037D3">
        <w:t>Consultation with practitioners, innovators and experts</w:t>
      </w:r>
    </w:p>
    <w:p w14:paraId="6A7DE4E2" w14:textId="77777777" w:rsidR="00EF0CF9" w:rsidRDefault="00EF0CF9" w:rsidP="00EF0CF9">
      <w:pPr>
        <w:pStyle w:val="ListBullet"/>
      </w:pPr>
      <w:r w:rsidRPr="00EF0CF9">
        <w:t>Panel discussions and presentations</w:t>
      </w:r>
    </w:p>
    <w:p w14:paraId="7AC29441" w14:textId="77777777" w:rsidR="00F037D3" w:rsidRDefault="00F037D3" w:rsidP="00A33F67">
      <w:pPr>
        <w:pStyle w:val="SubHeading"/>
      </w:pPr>
      <w:r w:rsidRPr="00F037D3">
        <w:t>Ideas and innovation</w:t>
      </w:r>
    </w:p>
    <w:p w14:paraId="15BE7FDF" w14:textId="77777777" w:rsidR="00F037D3" w:rsidRPr="00F037D3" w:rsidRDefault="00F037D3" w:rsidP="00F037D3">
      <w:pPr>
        <w:pStyle w:val="ListBullet"/>
      </w:pPr>
      <w:r w:rsidRPr="00F037D3">
        <w:t>Incentives for giving—considered stakeholder proposals and developed options to grow giving</w:t>
      </w:r>
    </w:p>
    <w:p w14:paraId="483C4409" w14:textId="77777777" w:rsidR="00F037D3" w:rsidRPr="00F037D3" w:rsidRDefault="00F037D3" w:rsidP="00F037D3">
      <w:pPr>
        <w:pStyle w:val="ListBullet"/>
      </w:pPr>
      <w:r w:rsidRPr="00F037D3">
        <w:t>Impact investing and partnerships—considered potential of innovative investment models that support a culture of giving and service</w:t>
      </w:r>
    </w:p>
    <w:p w14:paraId="4B0AE5AF" w14:textId="77777777" w:rsidR="00F037D3" w:rsidRDefault="00F037D3" w:rsidP="00EF0CF9">
      <w:pPr>
        <w:pStyle w:val="ListBullet"/>
      </w:pPr>
      <w:r w:rsidRPr="00F037D3">
        <w:t>Culture a</w:t>
      </w:r>
      <w:r>
        <w:t>nd platforms to maximise giving</w:t>
      </w:r>
      <w:r w:rsidR="00EF0CF9">
        <w:t xml:space="preserve"> </w:t>
      </w:r>
      <w:r w:rsidR="00EF0CF9" w:rsidRPr="00EF0CF9">
        <w:t>—mapped existing and emerging technologies and platforms for giving and considered sector capacity</w:t>
      </w:r>
    </w:p>
    <w:p w14:paraId="7C1A514C" w14:textId="77777777" w:rsidR="00F037D3" w:rsidRDefault="00F037D3" w:rsidP="00A33F67">
      <w:pPr>
        <w:pStyle w:val="SubHeading"/>
      </w:pPr>
      <w:r>
        <w:t xml:space="preserve">Research </w:t>
      </w:r>
      <w:r w:rsidRPr="00F037D3">
        <w:t>and insights</w:t>
      </w:r>
    </w:p>
    <w:p w14:paraId="18ADD1F0" w14:textId="77777777" w:rsidR="00F037D3" w:rsidRPr="00F037D3" w:rsidRDefault="00F037D3" w:rsidP="00F037D3">
      <w:pPr>
        <w:pStyle w:val="ListBullet"/>
      </w:pPr>
      <w:r w:rsidRPr="00F037D3">
        <w:t>Trends in giving and volunteering in Australia (Giving Australia)</w:t>
      </w:r>
    </w:p>
    <w:p w14:paraId="5F5BAB71" w14:textId="77777777" w:rsidR="00F037D3" w:rsidRPr="00F037D3" w:rsidRDefault="00F037D3" w:rsidP="00F037D3">
      <w:pPr>
        <w:pStyle w:val="ListBullet"/>
      </w:pPr>
      <w:r w:rsidRPr="00F037D3">
        <w:t>Technologies and platforms for giving and volunteering</w:t>
      </w:r>
    </w:p>
    <w:p w14:paraId="5ACD0449" w14:textId="77777777" w:rsidR="00F037D3" w:rsidRPr="00F037D3" w:rsidRDefault="00F037D3" w:rsidP="00F037D3">
      <w:pPr>
        <w:pStyle w:val="ListBullet"/>
      </w:pPr>
      <w:r w:rsidRPr="00F037D3">
        <w:t>Giving and volunteering in multicultural and Indigenous communities</w:t>
      </w:r>
    </w:p>
    <w:p w14:paraId="062A567D" w14:textId="77777777" w:rsidR="00F037D3" w:rsidRPr="00F037D3" w:rsidRDefault="00F037D3" w:rsidP="00F037D3">
      <w:pPr>
        <w:pStyle w:val="ListBullet"/>
      </w:pPr>
      <w:r w:rsidRPr="00F037D3">
        <w:t>Social impact investment</w:t>
      </w:r>
    </w:p>
    <w:p w14:paraId="2144B774" w14:textId="77777777" w:rsidR="00F037D3" w:rsidRDefault="00F037D3" w:rsidP="00F037D3">
      <w:pPr>
        <w:pStyle w:val="ListBullet"/>
      </w:pPr>
      <w:r w:rsidRPr="00F037D3">
        <w:t>Programme related investments</w:t>
      </w:r>
    </w:p>
    <w:p w14:paraId="643E9FE6" w14:textId="77777777" w:rsidR="00F037D3" w:rsidRDefault="00F037D3" w:rsidP="00A33F67">
      <w:pPr>
        <w:pStyle w:val="SubHeading"/>
      </w:pPr>
      <w:r w:rsidRPr="00F037D3">
        <w:t>Support and announcements</w:t>
      </w:r>
    </w:p>
    <w:p w14:paraId="518934B0" w14:textId="77777777" w:rsidR="00F037D3" w:rsidRPr="00F037D3" w:rsidRDefault="00F037D3" w:rsidP="00F037D3">
      <w:pPr>
        <w:pStyle w:val="ListBullet"/>
      </w:pPr>
      <w:r w:rsidRPr="00F037D3">
        <w:t>Community and Philanthropy Partnerships Week 2015</w:t>
      </w:r>
    </w:p>
    <w:p w14:paraId="17B720A0" w14:textId="77777777" w:rsidR="00F037D3" w:rsidRPr="00F037D3" w:rsidRDefault="00F037D3" w:rsidP="00F037D3">
      <w:pPr>
        <w:pStyle w:val="ListBullet"/>
      </w:pPr>
      <w:r w:rsidRPr="00F037D3">
        <w:t>Up to $10 000 for 24 community groups to highlight achievements working with philanthropic partners</w:t>
      </w:r>
    </w:p>
    <w:p w14:paraId="676B680C" w14:textId="77777777" w:rsidR="00F037D3" w:rsidRPr="00F037D3" w:rsidRDefault="00F037D3" w:rsidP="00F037D3">
      <w:pPr>
        <w:pStyle w:val="ListBullet"/>
      </w:pPr>
      <w:r w:rsidRPr="00F037D3">
        <w:t>Giving Australia 2016 trends research</w:t>
      </w:r>
    </w:p>
    <w:p w14:paraId="1E8390F8" w14:textId="77777777" w:rsidR="00F037D3" w:rsidRDefault="00F037D3" w:rsidP="00F037D3">
      <w:pPr>
        <w:pStyle w:val="ListBullet"/>
      </w:pPr>
      <w:r w:rsidRPr="00F037D3">
        <w:t>State of Volunteering in Australia survey and support</w:t>
      </w:r>
    </w:p>
    <w:p w14:paraId="385D3031" w14:textId="77777777" w:rsidR="00EF0CF9" w:rsidRDefault="00EF0CF9" w:rsidP="00EF0CF9">
      <w:pPr>
        <w:pStyle w:val="ListBullet"/>
      </w:pPr>
      <w:r w:rsidRPr="00EF0CF9">
        <w:t>National Volunteering Conference 2016</w:t>
      </w:r>
    </w:p>
    <w:p w14:paraId="6A0EA72F" w14:textId="77777777" w:rsidR="00F037D3" w:rsidRDefault="00F037D3" w:rsidP="00A33F67">
      <w:pPr>
        <w:pStyle w:val="SubHeading"/>
      </w:pPr>
      <w:r w:rsidRPr="00F037D3">
        <w:t>Impact</w:t>
      </w:r>
    </w:p>
    <w:p w14:paraId="4F3098AE" w14:textId="77777777" w:rsidR="00F037D3" w:rsidRPr="00F037D3" w:rsidRDefault="00F037D3" w:rsidP="00F037D3">
      <w:pPr>
        <w:pStyle w:val="ListBullet"/>
      </w:pPr>
      <w:r w:rsidRPr="00F037D3">
        <w:t>Donors—eliminating institutional barriers to philanthropic giving</w:t>
      </w:r>
    </w:p>
    <w:p w14:paraId="165E268D" w14:textId="77777777" w:rsidR="00F037D3" w:rsidRPr="00F037D3" w:rsidRDefault="00F037D3" w:rsidP="00F037D3">
      <w:pPr>
        <w:pStyle w:val="ListBullet"/>
      </w:pPr>
      <w:r w:rsidRPr="00F037D3">
        <w:t xml:space="preserve">Business—creating more flexible structures to support a culture of giving and service </w:t>
      </w:r>
    </w:p>
    <w:p w14:paraId="34F9B2CF" w14:textId="77777777" w:rsidR="00F037D3" w:rsidRDefault="00F037D3" w:rsidP="00EF0CF9">
      <w:pPr>
        <w:pStyle w:val="ListBullet"/>
      </w:pPr>
      <w:r w:rsidRPr="00F037D3">
        <w:t>Community—understanding trends, innovation, education and</w:t>
      </w:r>
      <w:r w:rsidR="00EF0CF9">
        <w:t xml:space="preserve"> </w:t>
      </w:r>
      <w:r w:rsidR="00EF0CF9" w:rsidRPr="00EF0CF9">
        <w:t>best practice</w:t>
      </w:r>
    </w:p>
    <w:p w14:paraId="6A4D82E4" w14:textId="77777777" w:rsidR="00F037D3" w:rsidRDefault="00F037D3" w:rsidP="00837F53">
      <w:pPr>
        <w:pStyle w:val="BodyText"/>
      </w:pPr>
      <w:r>
        <w:br w:type="page"/>
      </w:r>
    </w:p>
    <w:p w14:paraId="3AA360E9" w14:textId="77777777" w:rsidR="00F037D3" w:rsidRPr="00F037D3" w:rsidRDefault="00F037D3" w:rsidP="00F037D3">
      <w:pPr>
        <w:pStyle w:val="Heading1"/>
        <w:rPr>
          <w:lang w:val="en-GB"/>
        </w:rPr>
      </w:pPr>
      <w:bookmarkStart w:id="2" w:name="_Toc447200369"/>
      <w:r w:rsidRPr="00F037D3">
        <w:rPr>
          <w:lang w:val="en-GB"/>
        </w:rPr>
        <w:lastRenderedPageBreak/>
        <w:t>Snapshot of 2015</w:t>
      </w:r>
      <w:bookmarkEnd w:id="2"/>
    </w:p>
    <w:p w14:paraId="28C99CB1" w14:textId="77777777" w:rsidR="00F037D3" w:rsidRPr="00F037D3" w:rsidRDefault="00F037D3" w:rsidP="00F037D3">
      <w:pPr>
        <w:pStyle w:val="BodyText"/>
      </w:pPr>
      <w:r w:rsidRPr="00F037D3">
        <w:t xml:space="preserve">The Partnership’s first full 12 months were characterised by: </w:t>
      </w:r>
    </w:p>
    <w:p w14:paraId="598D082B" w14:textId="77777777" w:rsidR="00F037D3" w:rsidRPr="00F037D3" w:rsidRDefault="00F037D3" w:rsidP="00F037D3">
      <w:pPr>
        <w:pStyle w:val="ListBullet"/>
      </w:pPr>
      <w:r w:rsidRPr="00A33F67">
        <w:rPr>
          <w:b/>
        </w:rPr>
        <w:t>engagement and consultation</w:t>
      </w:r>
      <w:r w:rsidRPr="00F037D3">
        <w:t xml:space="preserve"> through roundtables and discussions with stakeholders across the community, government and business sectors </w:t>
      </w:r>
    </w:p>
    <w:p w14:paraId="127F399B" w14:textId="77777777" w:rsidR="00F037D3" w:rsidRPr="00F037D3" w:rsidRDefault="00F037D3" w:rsidP="00F037D3">
      <w:pPr>
        <w:pStyle w:val="ListBullet"/>
      </w:pPr>
      <w:r w:rsidRPr="00A33F67">
        <w:rPr>
          <w:b/>
        </w:rPr>
        <w:t>ideas and innovation</w:t>
      </w:r>
      <w:r w:rsidRPr="00F037D3">
        <w:t xml:space="preserve"> generated through the Partnership’s working groups on incentives for giving, impact investing and partnerships, and culture and platforms to maximise giving </w:t>
      </w:r>
    </w:p>
    <w:p w14:paraId="35D1BCEF" w14:textId="77777777" w:rsidR="00F037D3" w:rsidRPr="00F037D3" w:rsidRDefault="00F037D3" w:rsidP="00F037D3">
      <w:pPr>
        <w:pStyle w:val="ListBullet"/>
      </w:pPr>
      <w:proofErr w:type="gramStart"/>
      <w:r w:rsidRPr="00A33F67">
        <w:rPr>
          <w:b/>
        </w:rPr>
        <w:t>research</w:t>
      </w:r>
      <w:proofErr w:type="gramEnd"/>
      <w:r w:rsidRPr="00A33F67">
        <w:rPr>
          <w:b/>
        </w:rPr>
        <w:t xml:space="preserve"> and insights</w:t>
      </w:r>
      <w:r w:rsidRPr="00F037D3">
        <w:t xml:space="preserve"> including early findings about trends, innovation, education and best practice from research projects aimed </w:t>
      </w:r>
      <w:r>
        <w:t>at improving the evidence base.</w:t>
      </w:r>
    </w:p>
    <w:p w14:paraId="4A49FD8E" w14:textId="77777777" w:rsidR="00F037D3" w:rsidRPr="00F037D3" w:rsidRDefault="00F037D3" w:rsidP="00F037D3">
      <w:pPr>
        <w:pStyle w:val="Italic"/>
      </w:pPr>
      <w:r w:rsidRPr="00F037D3">
        <w:t>My hope is that the Partnership draws attention among the community and business sector to stimulate </w:t>
      </w:r>
      <w:r w:rsidRPr="00F037D3">
        <w:rPr>
          <w:rStyle w:val="ItalicCharacter"/>
        </w:rPr>
        <w:t>giving</w:t>
      </w:r>
      <w:r w:rsidRPr="00F037D3">
        <w:t>, promote volunteering and create alternative ways of donating, to relieve pressure on Government spending and at the same time to assist the</w:t>
      </w:r>
      <w:r>
        <w:t xml:space="preserve"> </w:t>
      </w:r>
      <w:r w:rsidRPr="00F037D3">
        <w:t xml:space="preserve">charitable sector to be more sustainable and efficient. </w:t>
      </w:r>
    </w:p>
    <w:p w14:paraId="13911D89" w14:textId="77777777" w:rsidR="00F037D3" w:rsidRPr="00F037D3" w:rsidRDefault="00F037D3" w:rsidP="00EB4E4C">
      <w:pPr>
        <w:pStyle w:val="Caption"/>
        <w:spacing w:after="0"/>
      </w:pPr>
      <w:r w:rsidRPr="00F037D3">
        <w:t>Melanie Cooper</w:t>
      </w:r>
    </w:p>
    <w:p w14:paraId="4126C84B" w14:textId="77777777" w:rsidR="00F037D3" w:rsidRDefault="00F037D3" w:rsidP="00F037D3">
      <w:pPr>
        <w:pStyle w:val="BodyText"/>
      </w:pPr>
      <w:r w:rsidRPr="00F037D3">
        <w:t>Partnership member</w:t>
      </w:r>
    </w:p>
    <w:p w14:paraId="07DEAF94" w14:textId="77777777" w:rsidR="00F037D3" w:rsidRPr="00F037D3" w:rsidRDefault="00F037D3" w:rsidP="00F037D3">
      <w:pPr>
        <w:pStyle w:val="Heading2"/>
      </w:pPr>
      <w:r w:rsidRPr="00F037D3">
        <w:t>The Partnership’s focus in 2015</w:t>
      </w:r>
    </w:p>
    <w:p w14:paraId="05027B70" w14:textId="77777777" w:rsidR="00F037D3" w:rsidRPr="00F037D3" w:rsidRDefault="00F037D3" w:rsidP="00837F53">
      <w:pPr>
        <w:pStyle w:val="BodyText"/>
      </w:pPr>
      <w:r w:rsidRPr="00F037D3">
        <w:t>In 2015, the Partnership focused on how to increase workplace giving, streamline regulations and stimulate cultural change. It also commissioned research to better understand sector trends and identify innovative investment models.</w:t>
      </w:r>
    </w:p>
    <w:p w14:paraId="4B4633C8" w14:textId="77777777" w:rsidR="00F037D3" w:rsidRDefault="00F037D3" w:rsidP="00837F53">
      <w:pPr>
        <w:pStyle w:val="BodyText"/>
      </w:pPr>
      <w:r w:rsidRPr="00F037D3">
        <w:t>At its last meeting for 2015, the Partnership reported to the Minister for Social Services, the Hon Christian Porter MP. The Partnership outlined progress and recommended actions aimed at giving donors more flexible options to support community outcomes.</w:t>
      </w:r>
    </w:p>
    <w:p w14:paraId="5F3D4D0E" w14:textId="77777777" w:rsidR="0058129C" w:rsidRPr="0058129C" w:rsidRDefault="0058129C" w:rsidP="0058129C">
      <w:pPr>
        <w:pStyle w:val="Heading2"/>
      </w:pPr>
      <w:r w:rsidRPr="0058129C">
        <w:t xml:space="preserve">Grow giving </w:t>
      </w:r>
    </w:p>
    <w:p w14:paraId="4DC20447" w14:textId="77777777" w:rsidR="0058129C" w:rsidRPr="0058129C" w:rsidRDefault="0058129C" w:rsidP="00837F53">
      <w:pPr>
        <w:pStyle w:val="BodyText"/>
      </w:pPr>
      <w:r w:rsidRPr="0058129C">
        <w:t>Philanthropy in Australia is active and Australian generosity is increasing</w:t>
      </w:r>
      <w:r w:rsidR="00840E66">
        <w:rPr>
          <w:rStyle w:val="FootnoteReference"/>
        </w:rPr>
        <w:footnoteReference w:id="1"/>
      </w:r>
      <w:r w:rsidRPr="0058129C">
        <w:t>. However, more can be done to enable philanthropy to thrive, in particular to encourage and facilitate more planned and reliable income streams for not-for-profit organisations and additional support to ensure their long-term sustainability.</w:t>
      </w:r>
    </w:p>
    <w:p w14:paraId="272AEABE" w14:textId="77777777" w:rsidR="0058129C" w:rsidRPr="0058129C" w:rsidRDefault="0058129C" w:rsidP="00837F53">
      <w:pPr>
        <w:pStyle w:val="BodyText"/>
      </w:pPr>
      <w:r w:rsidRPr="0058129C">
        <w:t xml:space="preserve">In considering the issues, the Partnership took into account Australia’s highly diverse philanthropic sector. The Partnership examined issues facing volunteers and organisations that involve volunteers. It also examined barriers and options for new giving including for: </w:t>
      </w:r>
    </w:p>
    <w:p w14:paraId="347C316C" w14:textId="77777777" w:rsidR="0058129C" w:rsidRPr="0058129C" w:rsidRDefault="0058129C" w:rsidP="0058129C">
      <w:pPr>
        <w:pStyle w:val="ListBullet"/>
      </w:pPr>
      <w:r w:rsidRPr="0058129C">
        <w:t>workplace givers</w:t>
      </w:r>
    </w:p>
    <w:p w14:paraId="1B80D121" w14:textId="77777777" w:rsidR="0058129C" w:rsidRPr="0058129C" w:rsidRDefault="0058129C" w:rsidP="0058129C">
      <w:pPr>
        <w:pStyle w:val="ListBullet"/>
      </w:pPr>
      <w:r w:rsidRPr="0058129C">
        <w:t>institutional and corporate givers</w:t>
      </w:r>
    </w:p>
    <w:p w14:paraId="37E3B11C" w14:textId="77777777" w:rsidR="0058129C" w:rsidRPr="0058129C" w:rsidRDefault="0058129C" w:rsidP="0058129C">
      <w:pPr>
        <w:pStyle w:val="ListBullet"/>
      </w:pPr>
      <w:r w:rsidRPr="0058129C">
        <w:t xml:space="preserve">high-net-worth givers </w:t>
      </w:r>
    </w:p>
    <w:p w14:paraId="350E5C02" w14:textId="77777777" w:rsidR="0058129C" w:rsidRPr="0058129C" w:rsidRDefault="0058129C" w:rsidP="0058129C">
      <w:pPr>
        <w:pStyle w:val="ListBullet"/>
      </w:pPr>
      <w:proofErr w:type="gramStart"/>
      <w:r w:rsidRPr="0058129C">
        <w:t>small</w:t>
      </w:r>
      <w:proofErr w:type="gramEnd"/>
      <w:r w:rsidRPr="0058129C">
        <w:t xml:space="preserve"> and medium enterprises. </w:t>
      </w:r>
    </w:p>
    <w:p w14:paraId="02EC9498" w14:textId="77777777" w:rsidR="0058129C" w:rsidRPr="0058129C" w:rsidRDefault="0058129C" w:rsidP="00837F53">
      <w:pPr>
        <w:pStyle w:val="BodyText"/>
      </w:pPr>
      <w:r w:rsidRPr="0058129C">
        <w:t>The Partnership shares a commitment to reducing red tape and reducing the administrative burden for charities and not-for-profit organisations as well as the philanthropic sector.</w:t>
      </w:r>
    </w:p>
    <w:p w14:paraId="490D32DB" w14:textId="77777777" w:rsidR="0058129C" w:rsidRPr="0058129C" w:rsidRDefault="0058129C" w:rsidP="00837F53">
      <w:pPr>
        <w:pStyle w:val="BodyText"/>
      </w:pPr>
      <w:r w:rsidRPr="0058129C">
        <w:t>The Partnership’s efforts influenced the requirement for philanthropic expertise to be included on the Medical Research Future Fund Advisory Board and were also instrumental in securing the following ‘early wins’ in reducing red tape:</w:t>
      </w:r>
    </w:p>
    <w:p w14:paraId="1A64D8C6" w14:textId="77777777" w:rsidR="00A33F67" w:rsidRDefault="0058129C" w:rsidP="00A33F67">
      <w:pPr>
        <w:pStyle w:val="ListBullet"/>
      </w:pPr>
      <w:r w:rsidRPr="0058129C">
        <w:t>Private Ancillary Funds will be permitted to transfer their net assets to other ancillary funds in the winding-up phase</w:t>
      </w:r>
    </w:p>
    <w:p w14:paraId="29DCECE9" w14:textId="77777777" w:rsidR="0058129C" w:rsidRDefault="0058129C" w:rsidP="00A33F67">
      <w:pPr>
        <w:pStyle w:val="ListBullet"/>
      </w:pPr>
      <w:proofErr w:type="gramStart"/>
      <w:r w:rsidRPr="0058129C">
        <w:t>valuation</w:t>
      </w:r>
      <w:proofErr w:type="gramEnd"/>
      <w:r w:rsidRPr="0058129C">
        <w:t xml:space="preserve"> requirements for listed shares and listed managed funds will be reviewed to reduce the compliance burden</w:t>
      </w:r>
      <w:r w:rsidR="00840E66">
        <w:rPr>
          <w:rStyle w:val="FootnoteReference"/>
        </w:rPr>
        <w:footnoteReference w:id="2"/>
      </w:r>
      <w:r w:rsidRPr="0058129C">
        <w:t xml:space="preserve">. </w:t>
      </w:r>
    </w:p>
    <w:p w14:paraId="1B797D57" w14:textId="77777777" w:rsidR="0058129C" w:rsidRPr="0058129C" w:rsidRDefault="0058129C" w:rsidP="0058129C">
      <w:pPr>
        <w:pStyle w:val="Heading2"/>
        <w:rPr>
          <w:lang w:val="en-GB"/>
        </w:rPr>
      </w:pPr>
      <w:r w:rsidRPr="0058129C">
        <w:rPr>
          <w:lang w:val="en-GB"/>
        </w:rPr>
        <w:lastRenderedPageBreak/>
        <w:t>Innovative investment and finance models</w:t>
      </w:r>
    </w:p>
    <w:p w14:paraId="1ECA2C27" w14:textId="77777777" w:rsidR="0058129C" w:rsidRPr="0058129C" w:rsidRDefault="0058129C" w:rsidP="00837F53">
      <w:pPr>
        <w:pStyle w:val="BodyText"/>
        <w:rPr>
          <w:lang w:val="en-GB"/>
        </w:rPr>
      </w:pPr>
      <w:r w:rsidRPr="0058129C">
        <w:rPr>
          <w:lang w:val="en-GB"/>
        </w:rPr>
        <w:t>New ideas and ways of working need to be actively encouraged in diverse areas including creative solutions to build community investment. The Partnership explored practical ways of creating new avenues for philanthropy to prompt a fundamental shift in the culture of giving among identified target groups including:</w:t>
      </w:r>
    </w:p>
    <w:p w14:paraId="4D0C9AD3" w14:textId="77777777" w:rsidR="0058129C" w:rsidRPr="0058129C" w:rsidRDefault="0058129C" w:rsidP="0058129C">
      <w:pPr>
        <w:pStyle w:val="ListBullet"/>
        <w:rPr>
          <w:lang w:val="en-GB"/>
        </w:rPr>
      </w:pPr>
      <w:r w:rsidRPr="0058129C">
        <w:rPr>
          <w:lang w:val="en-GB"/>
        </w:rPr>
        <w:t>donors—exploring pr</w:t>
      </w:r>
      <w:r>
        <w:rPr>
          <w:lang w:val="en-GB"/>
        </w:rPr>
        <w:t xml:space="preserve">ogramme related investment and </w:t>
      </w:r>
      <w:r>
        <w:t>i</w:t>
      </w:r>
      <w:proofErr w:type="spellStart"/>
      <w:r w:rsidRPr="0058129C">
        <w:rPr>
          <w:lang w:val="en-GB"/>
        </w:rPr>
        <w:t>mpact</w:t>
      </w:r>
      <w:proofErr w:type="spellEnd"/>
      <w:r w:rsidRPr="0058129C">
        <w:rPr>
          <w:lang w:val="en-GB"/>
        </w:rPr>
        <w:t xml:space="preserve"> investing, so foundations can more effectively use their resources to achieve their mission </w:t>
      </w:r>
    </w:p>
    <w:p w14:paraId="779C7581" w14:textId="77777777" w:rsidR="0058129C" w:rsidRPr="0058129C" w:rsidRDefault="0058129C" w:rsidP="0058129C">
      <w:pPr>
        <w:pStyle w:val="ListBullet"/>
        <w:rPr>
          <w:lang w:val="en-GB"/>
        </w:rPr>
      </w:pPr>
      <w:r w:rsidRPr="0058129C">
        <w:rPr>
          <w:lang w:val="en-GB"/>
        </w:rPr>
        <w:t>governments—exploring ways for governments to use impact investing vehicles to achieve objectives more effectively</w:t>
      </w:r>
    </w:p>
    <w:p w14:paraId="4854C26F" w14:textId="77777777" w:rsidR="0058129C" w:rsidRDefault="0058129C" w:rsidP="0058129C">
      <w:pPr>
        <w:pStyle w:val="ListBullet"/>
        <w:rPr>
          <w:lang w:val="en-GB"/>
        </w:rPr>
      </w:pPr>
      <w:proofErr w:type="gramStart"/>
      <w:r w:rsidRPr="0058129C">
        <w:rPr>
          <w:lang w:val="en-GB"/>
        </w:rPr>
        <w:t>community—</w:t>
      </w:r>
      <w:proofErr w:type="gramEnd"/>
      <w:r w:rsidRPr="0058129C">
        <w:rPr>
          <w:lang w:val="en-GB"/>
        </w:rPr>
        <w:t>exploring mecha</w:t>
      </w:r>
      <w:r>
        <w:rPr>
          <w:lang w:val="en-GB"/>
        </w:rPr>
        <w:t xml:space="preserve">nisms to build capacity in the </w:t>
      </w:r>
      <w:r w:rsidRPr="0058129C">
        <w:rPr>
          <w:lang w:val="en-GB"/>
        </w:rPr>
        <w:t>sector to take advantage of innovative finance models through guidance and education.</w:t>
      </w:r>
    </w:p>
    <w:p w14:paraId="76B3FDCE" w14:textId="77777777" w:rsidR="00A33F67" w:rsidRPr="0058129C" w:rsidRDefault="00A33F67" w:rsidP="00A33F67">
      <w:pPr>
        <w:pStyle w:val="Italic"/>
      </w:pPr>
      <w:r w:rsidRPr="0058129C">
        <w:t xml:space="preserve">The legacy that we provide to our children will depend on how well we work together as a nation in order to create a future that they deserve and reasonably expect. </w:t>
      </w:r>
    </w:p>
    <w:p w14:paraId="721CADBC" w14:textId="77777777" w:rsidR="00A33F67" w:rsidRPr="0058129C" w:rsidRDefault="00A33F67" w:rsidP="00A33F67">
      <w:pPr>
        <w:pStyle w:val="BodyBold"/>
        <w:spacing w:after="0"/>
      </w:pPr>
      <w:r w:rsidRPr="0058129C">
        <w:t xml:space="preserve">Peter Treseder AM </w:t>
      </w:r>
    </w:p>
    <w:p w14:paraId="514206B3" w14:textId="77777777" w:rsidR="00A33F67" w:rsidRDefault="00A33F67" w:rsidP="00A33F67">
      <w:pPr>
        <w:pStyle w:val="BodyText"/>
      </w:pPr>
      <w:r w:rsidRPr="0058129C">
        <w:t>Partnership member</w:t>
      </w:r>
    </w:p>
    <w:p w14:paraId="6D07CF2D" w14:textId="77777777" w:rsidR="0058129C" w:rsidRDefault="0058129C" w:rsidP="0058129C">
      <w:pPr>
        <w:pStyle w:val="Heading2"/>
      </w:pPr>
      <w:r w:rsidRPr="0058129C">
        <w:t xml:space="preserve">Trends, innovation, education and best practice </w:t>
      </w:r>
    </w:p>
    <w:p w14:paraId="5FA3DC7E" w14:textId="77777777" w:rsidR="0058129C" w:rsidRDefault="0058129C" w:rsidP="0058129C">
      <w:pPr>
        <w:pStyle w:val="BodyText"/>
      </w:pPr>
      <w:r w:rsidRPr="0058129C">
        <w:t xml:space="preserve">One of the Partnership’s tasks is to prioritise research on trends in philanthropy, giving and volunteering, and innovation, education and best practice in the sector. </w:t>
      </w:r>
    </w:p>
    <w:p w14:paraId="2C4EC463" w14:textId="77777777" w:rsidR="0058129C" w:rsidRDefault="0058129C" w:rsidP="0058129C">
      <w:pPr>
        <w:pStyle w:val="BodyText"/>
      </w:pPr>
      <w:r w:rsidRPr="0058129C">
        <w:t xml:space="preserve">In 2015, the Department of Social Services, on behalf of the Partnership, commissioned five research projects. This research will build on the evidence base for policy development in the following areas where current knowledge is lacking: </w:t>
      </w:r>
    </w:p>
    <w:p w14:paraId="64D0D20B" w14:textId="77777777" w:rsidR="0058129C" w:rsidRDefault="0058129C" w:rsidP="0058129C">
      <w:pPr>
        <w:pStyle w:val="ListBullet"/>
      </w:pPr>
      <w:r w:rsidRPr="0058129C">
        <w:t xml:space="preserve">trends in giving and volunteering in Australia </w:t>
      </w:r>
    </w:p>
    <w:p w14:paraId="3A16E629" w14:textId="77777777" w:rsidR="0058129C" w:rsidRDefault="0058129C" w:rsidP="0058129C">
      <w:pPr>
        <w:pStyle w:val="ListBullet"/>
      </w:pPr>
      <w:r w:rsidRPr="0058129C">
        <w:t>how to harness emerging technologies and platforms to increase giving and volunteering</w:t>
      </w:r>
    </w:p>
    <w:p w14:paraId="1B887788" w14:textId="77777777" w:rsidR="0058129C" w:rsidRDefault="0058129C" w:rsidP="0058129C">
      <w:pPr>
        <w:pStyle w:val="ListBullet"/>
      </w:pPr>
      <w:r w:rsidRPr="0058129C">
        <w:t>how to grow giving and volunteering in multicultural and Indigenous communities, to promote greater participation and social cohesion</w:t>
      </w:r>
    </w:p>
    <w:p w14:paraId="5D5E5E91" w14:textId="77777777" w:rsidR="00A33F67" w:rsidRDefault="0058129C" w:rsidP="0058129C">
      <w:pPr>
        <w:pStyle w:val="ListBullet"/>
      </w:pPr>
      <w:r w:rsidRPr="0058129C">
        <w:t>the potential benefit</w:t>
      </w:r>
      <w:r w:rsidR="00A33F67">
        <w:t>s of social impact investment</w:t>
      </w:r>
    </w:p>
    <w:p w14:paraId="085EC96E" w14:textId="77777777" w:rsidR="0058129C" w:rsidRDefault="0058129C" w:rsidP="0058129C">
      <w:pPr>
        <w:pStyle w:val="ListBullet"/>
      </w:pPr>
      <w:proofErr w:type="gramStart"/>
      <w:r w:rsidRPr="0058129C">
        <w:t>how</w:t>
      </w:r>
      <w:proofErr w:type="gramEnd"/>
      <w:r w:rsidRPr="0058129C">
        <w:t xml:space="preserve"> Australian Private Ancillary Funds and Public Ancillary Funds can use their grant distributions to make programme related investments.</w:t>
      </w:r>
    </w:p>
    <w:p w14:paraId="376231E4" w14:textId="77777777" w:rsidR="00F037D3" w:rsidRDefault="0058129C" w:rsidP="0058129C">
      <w:pPr>
        <w:pStyle w:val="BodyText"/>
      </w:pPr>
      <w:r w:rsidRPr="0058129C">
        <w:t xml:space="preserve">Further details on research undertaken are on the Partnership website at </w:t>
      </w:r>
      <w:hyperlink r:id="rId11" w:history="1">
        <w:r w:rsidR="001B758D" w:rsidRPr="003B36EC">
          <w:rPr>
            <w:rStyle w:val="Hyperlink"/>
          </w:rPr>
          <w:t>www.communitybusinesspartnership.gov.au</w:t>
        </w:r>
      </w:hyperlink>
      <w:r w:rsidRPr="0058129C">
        <w:t>.</w:t>
      </w:r>
    </w:p>
    <w:p w14:paraId="4D20C2C2" w14:textId="77777777" w:rsidR="00A33F67" w:rsidRDefault="00642E59" w:rsidP="00642E59">
      <w:pPr>
        <w:pStyle w:val="Heading2"/>
      </w:pPr>
      <w:r>
        <w:t>$8.6 billion in giving in 2012-13</w:t>
      </w:r>
    </w:p>
    <w:p w14:paraId="7CDC5887" w14:textId="77777777" w:rsidR="00642E59" w:rsidRPr="00642E59" w:rsidRDefault="00642E59" w:rsidP="00642E59">
      <w:r>
        <w:t>In 2012–13 giving in Australia amounted to $8.61 billion. That is eight per cent of total charity sector income and 0.57 per cent of gross domestic product (GDP). This was made up of:</w:t>
      </w:r>
    </w:p>
    <w:p w14:paraId="2C3D1AE5" w14:textId="77777777" w:rsidR="00642E59" w:rsidRPr="00642E59" w:rsidRDefault="00642E59" w:rsidP="00642E59">
      <w:r>
        <w:t xml:space="preserve">$3.993 billion in donations, bequests and legacies </w:t>
      </w:r>
    </w:p>
    <w:p w14:paraId="3F3D93BD" w14:textId="77777777" w:rsidR="00642E59" w:rsidRPr="00642E59" w:rsidRDefault="00642E59" w:rsidP="00642E59">
      <w:r>
        <w:t xml:space="preserve">$0.863 billion in donations from business </w:t>
      </w:r>
    </w:p>
    <w:p w14:paraId="38599D9E" w14:textId="77777777" w:rsidR="00642E59" w:rsidRPr="00642E59" w:rsidRDefault="00642E59" w:rsidP="00642E59">
      <w:r>
        <w:t xml:space="preserve">$0.474 billion in donations from trusts and foundations </w:t>
      </w:r>
    </w:p>
    <w:p w14:paraId="610075B6" w14:textId="77777777" w:rsidR="00642E59" w:rsidRPr="00642E59" w:rsidRDefault="00642E59" w:rsidP="00642E59">
      <w:r>
        <w:t xml:space="preserve">$1.381 billion in sponsorships </w:t>
      </w:r>
    </w:p>
    <w:p w14:paraId="69B0B39C" w14:textId="77777777" w:rsidR="00642E59" w:rsidRPr="00642E59" w:rsidRDefault="00642E59" w:rsidP="00642E59">
      <w:r>
        <w:t>$1.903 billion in other fundraising.</w:t>
      </w:r>
      <w:r w:rsidRPr="00642E59">
        <w:rPr>
          <w:rStyle w:val="FootnoteReference"/>
        </w:rPr>
        <w:footnoteReference w:id="3"/>
      </w:r>
    </w:p>
    <w:p w14:paraId="3AE76879" w14:textId="77777777" w:rsidR="00642E59" w:rsidRDefault="00642E59" w:rsidP="00F835EE">
      <w:pPr>
        <w:pStyle w:val="Heading2"/>
      </w:pPr>
      <w:r w:rsidRPr="00642E59">
        <w:t>5.8 million people</w:t>
      </w:r>
      <w:r w:rsidR="00F835EE">
        <w:t xml:space="preserve"> </w:t>
      </w:r>
      <w:r w:rsidRPr="00642E59">
        <w:t>volunteered 743 million hours in 2014</w:t>
      </w:r>
    </w:p>
    <w:p w14:paraId="5A9FCD03" w14:textId="77777777" w:rsidR="00F835EE" w:rsidRPr="00F835EE" w:rsidRDefault="00F835EE" w:rsidP="00F835EE">
      <w:r>
        <w:t>In 2014, a total of 5.8 million people aged 15 years and over volunteered some 743 million hours of their time across a range of activities.</w:t>
      </w:r>
      <w:r w:rsidRPr="00F835EE">
        <w:rPr>
          <w:rStyle w:val="FootnoteReference"/>
        </w:rPr>
        <w:footnoteReference w:id="4"/>
      </w:r>
    </w:p>
    <w:p w14:paraId="3F88CAE0" w14:textId="77777777" w:rsidR="00F835EE" w:rsidRPr="00F835EE" w:rsidRDefault="00F835EE" w:rsidP="00F835EE">
      <w:pPr>
        <w:pStyle w:val="Heading2"/>
      </w:pPr>
      <w:r w:rsidRPr="00F835EE">
        <w:lastRenderedPageBreak/>
        <w:t>Partnership activities and related projects</w:t>
      </w:r>
    </w:p>
    <w:p w14:paraId="7DDBC498" w14:textId="77777777" w:rsidR="0058129C" w:rsidRPr="00B95DAF" w:rsidRDefault="0058129C" w:rsidP="00B95DAF">
      <w:pPr>
        <w:pStyle w:val="BodyText"/>
      </w:pPr>
      <w:r w:rsidRPr="0058129C">
        <w:t>Philanthropy plays a critical role in Australian society, empowering communities and creating a sense of purpose and belonging. A community that gives freely of its time and financial resources is one with strong cohesion and social capital. Giving in Australia fact sheet, Department of Social Services, Partnership website</w:t>
      </w:r>
      <w:r w:rsidR="00B95DAF">
        <w:t>.</w:t>
      </w:r>
    </w:p>
    <w:p w14:paraId="7311F786" w14:textId="77777777" w:rsidR="00773087" w:rsidRPr="00773087" w:rsidRDefault="00773087" w:rsidP="00773087">
      <w:pPr>
        <w:pStyle w:val="BodyText"/>
      </w:pPr>
      <w:r>
        <w:br w:type="page"/>
      </w:r>
    </w:p>
    <w:p w14:paraId="1351B6B6" w14:textId="77777777" w:rsidR="0058129C" w:rsidRDefault="0058129C" w:rsidP="0058129C">
      <w:pPr>
        <w:pStyle w:val="Heading1"/>
      </w:pPr>
      <w:bookmarkStart w:id="3" w:name="_Toc447200370"/>
      <w:r w:rsidRPr="0058129C">
        <w:lastRenderedPageBreak/>
        <w:t>Aspirations for 2016</w:t>
      </w:r>
      <w:bookmarkEnd w:id="3"/>
    </w:p>
    <w:p w14:paraId="40DB0E4D" w14:textId="77777777" w:rsidR="0058129C" w:rsidRPr="0058129C" w:rsidRDefault="0058129C" w:rsidP="0058129C">
      <w:pPr>
        <w:pStyle w:val="BodyText"/>
      </w:pPr>
      <w:r w:rsidRPr="0058129C">
        <w:t xml:space="preserve">In developing further advice, the Partnership will continue to consider issues in the context of the taxation and welfare agendas and a fiscal environment that continues to be challenging. </w:t>
      </w:r>
    </w:p>
    <w:p w14:paraId="2EC083EE" w14:textId="77777777" w:rsidR="0058129C" w:rsidRDefault="0058129C" w:rsidP="0058129C">
      <w:pPr>
        <w:pStyle w:val="BodyText"/>
      </w:pPr>
      <w:r w:rsidRPr="0058129C">
        <w:t>The Partnership will prioritise concrete proposals that deliver real benefits, as well as laying the groundwork for longer-term transformation.</w:t>
      </w:r>
    </w:p>
    <w:p w14:paraId="2A9200C7" w14:textId="77777777" w:rsidR="00F835EE" w:rsidRPr="0058129C" w:rsidRDefault="00F835EE" w:rsidP="00F835EE">
      <w:pPr>
        <w:pStyle w:val="Italic"/>
      </w:pPr>
      <w:r w:rsidRPr="0058129C">
        <w:t xml:space="preserve">My vision for philanthropy and volunteering is for each and every Australian to realise that they can make a difference by developing a culture of ‘giving’ in either form: volunteering or philanthropy. One is not more important than the other. </w:t>
      </w:r>
    </w:p>
    <w:p w14:paraId="3E34986D" w14:textId="77777777" w:rsidR="00F835EE" w:rsidRPr="00F835EE" w:rsidRDefault="00F835EE" w:rsidP="00F835EE">
      <w:pPr>
        <w:pStyle w:val="BodyBold"/>
        <w:spacing w:after="0"/>
      </w:pPr>
      <w:r w:rsidRPr="0058129C">
        <w:t>Colleen McGann</w:t>
      </w:r>
    </w:p>
    <w:p w14:paraId="02C8680A" w14:textId="77777777" w:rsidR="00F835EE" w:rsidRDefault="00F835EE" w:rsidP="00F835EE">
      <w:pPr>
        <w:pStyle w:val="BodyText"/>
      </w:pPr>
      <w:r w:rsidRPr="0058129C">
        <w:t>Partnership member</w:t>
      </w:r>
    </w:p>
    <w:p w14:paraId="5D4C0453" w14:textId="77777777" w:rsidR="0058129C" w:rsidRPr="0058129C" w:rsidRDefault="0058129C" w:rsidP="0058129C">
      <w:pPr>
        <w:pStyle w:val="Heading2"/>
      </w:pPr>
      <w:r w:rsidRPr="0058129C">
        <w:t>Priorities for 2016</w:t>
      </w:r>
    </w:p>
    <w:p w14:paraId="484EC2F0" w14:textId="77777777" w:rsidR="0058129C" w:rsidRDefault="0058129C" w:rsidP="0058129C">
      <w:pPr>
        <w:pStyle w:val="BodyText"/>
      </w:pPr>
      <w:r w:rsidRPr="0058129C">
        <w:t>Priorities for the coming year include identifying ways to reduce red tape, increase workplace giving, make greater use of technology and build social impact investing. The Partnership will also explore the Deductible Gift Recipient framework.</w:t>
      </w:r>
    </w:p>
    <w:p w14:paraId="1099596A" w14:textId="77777777" w:rsidR="0058129C" w:rsidRPr="0058129C" w:rsidRDefault="0058129C" w:rsidP="0058129C">
      <w:pPr>
        <w:pStyle w:val="Heading3"/>
      </w:pPr>
      <w:r w:rsidRPr="0058129C">
        <w:t xml:space="preserve">Reducing red tape </w:t>
      </w:r>
    </w:p>
    <w:p w14:paraId="66080462" w14:textId="77777777" w:rsidR="0058129C" w:rsidRPr="0058129C" w:rsidRDefault="0058129C" w:rsidP="0058129C">
      <w:pPr>
        <w:pStyle w:val="BodyText"/>
      </w:pPr>
      <w:r w:rsidRPr="0058129C">
        <w:t xml:space="preserve">The Partnership will continue to work with the Australian Charities and Not-for-profits Commission (ACNC) to eliminate burdensome red tape and streamline sector regulatory approaches, for example harmonising fundraising regulation and cutting red tape for volunteers. </w:t>
      </w:r>
    </w:p>
    <w:p w14:paraId="5C9D0B60" w14:textId="77777777" w:rsidR="0058129C" w:rsidRDefault="0058129C" w:rsidP="0058129C">
      <w:pPr>
        <w:pStyle w:val="BodyText"/>
      </w:pPr>
      <w:r w:rsidRPr="00C34F70">
        <w:rPr>
          <w:i/>
        </w:rPr>
        <w:t>It has been a pleasure for the ACNC to work with the Prime Minister’s Community Business Partnership in 2015. We share a commitment to reducing red tape on not-for-profit organisations in Australia. We are also both interested in exploring ways to foster philanthropic giving and investment, including how the charity regulator can support stronger giving in Australia. We look forward to maintaining dialogue with the Partnership in 2016 to continue our efforts to support a thriving charitable sector in Australia</w:t>
      </w:r>
      <w:r w:rsidRPr="0058129C">
        <w:t>. Susan Pascoe AM, ACNC Commissioner</w:t>
      </w:r>
      <w:r>
        <w:t>.</w:t>
      </w:r>
    </w:p>
    <w:p w14:paraId="0FCA51AC" w14:textId="77777777" w:rsidR="0058129C" w:rsidRPr="0058129C" w:rsidRDefault="0058129C" w:rsidP="0058129C">
      <w:pPr>
        <w:pStyle w:val="Heading3"/>
      </w:pPr>
      <w:r w:rsidRPr="0058129C">
        <w:t xml:space="preserve">Workplace giving </w:t>
      </w:r>
    </w:p>
    <w:p w14:paraId="5FABE742" w14:textId="77777777" w:rsidR="0058129C" w:rsidRDefault="0058129C" w:rsidP="0058129C">
      <w:pPr>
        <w:pStyle w:val="BodyText"/>
      </w:pPr>
      <w:r w:rsidRPr="0058129C">
        <w:t>In addition, the Partnership will continue talking with stakeholders to develop strategies aimed at increasing levels of workplace giving, including through awareness-raising, and further explore the changes needed to legislation and guidelines to improve the system.</w:t>
      </w:r>
    </w:p>
    <w:p w14:paraId="60D3BC85" w14:textId="77777777" w:rsidR="00C34F70" w:rsidRDefault="00C34F70" w:rsidP="00C34F70">
      <w:pPr>
        <w:pStyle w:val="SubHeading"/>
      </w:pPr>
      <w:r>
        <w:t>Research will inform strategies for increased use of innovative technology</w:t>
      </w:r>
    </w:p>
    <w:p w14:paraId="35F42996" w14:textId="77777777" w:rsidR="00552124" w:rsidRPr="00552124" w:rsidRDefault="00552124" w:rsidP="00C34F70">
      <w:pPr>
        <w:pStyle w:val="Heading2"/>
      </w:pPr>
      <w:r w:rsidRPr="00552124">
        <w:t xml:space="preserve">Innovation and technologies </w:t>
      </w:r>
    </w:p>
    <w:p w14:paraId="72EC2F37" w14:textId="77777777" w:rsidR="00552124" w:rsidRPr="00552124" w:rsidRDefault="00552124" w:rsidP="00552124">
      <w:pPr>
        <w:pStyle w:val="BodyText"/>
      </w:pPr>
      <w:r w:rsidRPr="00552124">
        <w:t>The Partnership will draw on research to inform strategies aimed at increasing investment in, and uptake of, innovative technologies and platforms to grow giving and volunteering including:</w:t>
      </w:r>
    </w:p>
    <w:p w14:paraId="69DC3502" w14:textId="77777777" w:rsidR="00552124" w:rsidRPr="00552124" w:rsidRDefault="00552124" w:rsidP="00552124">
      <w:pPr>
        <w:pStyle w:val="ListBullet"/>
      </w:pPr>
      <w:r w:rsidRPr="00552124">
        <w:t>better understanding and raising awareness about barriers to technology use and engagement, including costs and regulation</w:t>
      </w:r>
    </w:p>
    <w:p w14:paraId="3FEA7A73" w14:textId="77777777" w:rsidR="00552124" w:rsidRPr="00552124" w:rsidRDefault="00552124" w:rsidP="00552124">
      <w:pPr>
        <w:pStyle w:val="ListBullet"/>
      </w:pPr>
      <w:r w:rsidRPr="00552124">
        <w:t>kick-starting a national dialogue on technology and innovation in the not-for-profit sector</w:t>
      </w:r>
    </w:p>
    <w:p w14:paraId="216856C2" w14:textId="77777777" w:rsidR="00552124" w:rsidRPr="00552124" w:rsidRDefault="00552124" w:rsidP="00552124">
      <w:pPr>
        <w:pStyle w:val="ListBullet"/>
      </w:pPr>
      <w:r w:rsidRPr="00552124">
        <w:t xml:space="preserve">encouraging sector and government investment </w:t>
      </w:r>
    </w:p>
    <w:p w14:paraId="3AD5272B" w14:textId="77777777" w:rsidR="00552124" w:rsidRPr="00552124" w:rsidRDefault="00552124" w:rsidP="00552124">
      <w:pPr>
        <w:pStyle w:val="ListBullet"/>
      </w:pPr>
      <w:proofErr w:type="gramStart"/>
      <w:r w:rsidRPr="00552124">
        <w:t>better</w:t>
      </w:r>
      <w:proofErr w:type="gramEnd"/>
      <w:r w:rsidRPr="00552124">
        <w:t xml:space="preserve"> measurement of impact.</w:t>
      </w:r>
    </w:p>
    <w:p w14:paraId="1E4C7C88" w14:textId="77777777" w:rsidR="00552124" w:rsidRPr="00552124" w:rsidRDefault="00552124" w:rsidP="00C34F70">
      <w:pPr>
        <w:pStyle w:val="Heading2"/>
      </w:pPr>
      <w:r w:rsidRPr="00552124">
        <w:t xml:space="preserve">Social impact investing </w:t>
      </w:r>
    </w:p>
    <w:p w14:paraId="77523410" w14:textId="77777777" w:rsidR="00552124" w:rsidRPr="00552124" w:rsidRDefault="00552124" w:rsidP="00552124">
      <w:pPr>
        <w:pStyle w:val="BodyText"/>
      </w:pPr>
      <w:r w:rsidRPr="00552124">
        <w:t>In recognition of the critical need for strong and productive partnerships between the government, philanthropic and not-for-profit sectors, the Partnership will continue to build on research into social impact investment and contribute to the Government’s announced discussion paper on social impact investing</w:t>
      </w:r>
      <w:r w:rsidR="00EE4B97">
        <w:rPr>
          <w:rStyle w:val="FootnoteReference"/>
        </w:rPr>
        <w:footnoteReference w:id="5"/>
      </w:r>
      <w:r w:rsidRPr="00552124">
        <w:t xml:space="preserve">. </w:t>
      </w:r>
    </w:p>
    <w:p w14:paraId="27A42EAB" w14:textId="77777777" w:rsidR="00552124" w:rsidRDefault="00552124" w:rsidP="00C34F70">
      <w:pPr>
        <w:pStyle w:val="Heading2"/>
      </w:pPr>
      <w:r w:rsidRPr="00552124">
        <w:lastRenderedPageBreak/>
        <w:t>Deductible Gift Recipient framework</w:t>
      </w:r>
    </w:p>
    <w:p w14:paraId="609F1C7A" w14:textId="77777777" w:rsidR="00C34F70" w:rsidRDefault="00552124" w:rsidP="00552124">
      <w:pPr>
        <w:pStyle w:val="BodyText"/>
      </w:pPr>
      <w:r w:rsidRPr="00552124">
        <w:t>The Partnership will also explore the Deductible Gift Recipient (DGR) framework and whether it is meeting 21st century needs. In particular it will consider the challenges of gaining DGR status and whether DGR status enables whole-of-community approaches to addressing entrenched disadvantage.</w:t>
      </w:r>
    </w:p>
    <w:p w14:paraId="531463AA" w14:textId="77777777" w:rsidR="00342CE4" w:rsidRPr="00342CE4" w:rsidRDefault="00342CE4" w:rsidP="00342CE4">
      <w:pPr>
        <w:pStyle w:val="BodyText"/>
        <w:rPr>
          <w:i/>
        </w:rPr>
      </w:pPr>
      <w:r w:rsidRPr="00342CE4">
        <w:rPr>
          <w:i/>
        </w:rPr>
        <w:t xml:space="preserve">I look forward to the Partnership turning its attention to how philanthropic activity can do the most good. Measuring impact is the new Holy Grail. </w:t>
      </w:r>
    </w:p>
    <w:p w14:paraId="50404773" w14:textId="77777777" w:rsidR="00342CE4" w:rsidRPr="00342CE4" w:rsidRDefault="00342CE4" w:rsidP="00342CE4">
      <w:pPr>
        <w:pStyle w:val="BodyBold"/>
        <w:spacing w:after="0"/>
      </w:pPr>
      <w:r w:rsidRPr="00342CE4">
        <w:t>The Hon Dr Gary Johns</w:t>
      </w:r>
    </w:p>
    <w:p w14:paraId="4D01E6AF" w14:textId="77777777" w:rsidR="00342CE4" w:rsidRDefault="00342CE4" w:rsidP="00342CE4">
      <w:pPr>
        <w:pStyle w:val="BodyText"/>
      </w:pPr>
      <w:r w:rsidRPr="00342CE4">
        <w:t>Partnership member</w:t>
      </w:r>
    </w:p>
    <w:p w14:paraId="5CFBB498" w14:textId="77777777" w:rsidR="00342CE4" w:rsidRDefault="00342CE4" w:rsidP="00552124">
      <w:pPr>
        <w:pStyle w:val="BodyText"/>
      </w:pPr>
    </w:p>
    <w:p w14:paraId="3F4C1013" w14:textId="77777777" w:rsidR="00C34F70" w:rsidRDefault="00C34F70" w:rsidP="00C34F70">
      <w:pPr>
        <w:pStyle w:val="BodyText"/>
      </w:pPr>
      <w:r>
        <w:br w:type="page"/>
      </w:r>
    </w:p>
    <w:p w14:paraId="64116F1C" w14:textId="77777777" w:rsidR="00552124" w:rsidRDefault="00552124" w:rsidP="00552124">
      <w:pPr>
        <w:pStyle w:val="Heading1"/>
      </w:pPr>
      <w:bookmarkStart w:id="4" w:name="_Toc447200371"/>
      <w:r w:rsidRPr="00552124">
        <w:lastRenderedPageBreak/>
        <w:t>Partnership working groups</w:t>
      </w:r>
      <w:bookmarkEnd w:id="4"/>
    </w:p>
    <w:p w14:paraId="0BE06695" w14:textId="77777777" w:rsidR="00552124" w:rsidRPr="00552124" w:rsidRDefault="00552124" w:rsidP="00552124">
      <w:pPr>
        <w:pStyle w:val="BodyText"/>
      </w:pPr>
      <w:r w:rsidRPr="00552124">
        <w:t>During 2015, the Partnership formed three working groups to progress priority issues. They are the:</w:t>
      </w:r>
    </w:p>
    <w:p w14:paraId="3ACC1AB3" w14:textId="77777777" w:rsidR="00552124" w:rsidRPr="00552124" w:rsidRDefault="00552124" w:rsidP="00552124">
      <w:pPr>
        <w:pStyle w:val="ListBullet"/>
      </w:pPr>
      <w:r w:rsidRPr="00552124">
        <w:t>Incentives for giving working group</w:t>
      </w:r>
    </w:p>
    <w:p w14:paraId="43292430" w14:textId="77777777" w:rsidR="00552124" w:rsidRPr="00552124" w:rsidRDefault="00552124" w:rsidP="00552124">
      <w:pPr>
        <w:pStyle w:val="ListBullet"/>
      </w:pPr>
      <w:r w:rsidRPr="00552124">
        <w:t xml:space="preserve">Impact investing and partnerships working group </w:t>
      </w:r>
    </w:p>
    <w:p w14:paraId="1C5E1324" w14:textId="77777777" w:rsidR="00552124" w:rsidRDefault="00552124" w:rsidP="00552124">
      <w:pPr>
        <w:pStyle w:val="ListBullet"/>
      </w:pPr>
      <w:r w:rsidRPr="00552124">
        <w:t>Culture and platforms to maximise giving working group.</w:t>
      </w:r>
    </w:p>
    <w:p w14:paraId="60110D6A" w14:textId="77777777" w:rsidR="00552124" w:rsidRPr="00552124" w:rsidRDefault="00552124" w:rsidP="00552124">
      <w:pPr>
        <w:pStyle w:val="Italic"/>
      </w:pPr>
      <w:r w:rsidRPr="00552124">
        <w:t xml:space="preserve">George Bernard Shaw once said there is a certain joy in life in helping good causes and to this I add in boosting philanthropy and volunteering generally. To do so, according to United States studies, means you have a better chance of living longer—but the whole process must be kept simple. </w:t>
      </w:r>
    </w:p>
    <w:p w14:paraId="093C8456" w14:textId="77777777" w:rsidR="00552124" w:rsidRPr="00552124" w:rsidRDefault="00552124" w:rsidP="00EB4E4C">
      <w:pPr>
        <w:pStyle w:val="BodyBold"/>
        <w:spacing w:after="0"/>
      </w:pPr>
      <w:r w:rsidRPr="00552124">
        <w:t>The Hon Tim Fischer AC</w:t>
      </w:r>
    </w:p>
    <w:p w14:paraId="71AD8F23" w14:textId="77777777" w:rsidR="00552124" w:rsidRDefault="00552124" w:rsidP="00552124">
      <w:pPr>
        <w:pStyle w:val="ListBullet"/>
        <w:numPr>
          <w:ilvl w:val="0"/>
          <w:numId w:val="0"/>
        </w:numPr>
      </w:pPr>
      <w:r w:rsidRPr="00552124">
        <w:t>Partnership member</w:t>
      </w:r>
    </w:p>
    <w:p w14:paraId="2A591EE3" w14:textId="77777777" w:rsidR="00552124" w:rsidRDefault="00552124" w:rsidP="00B95DAF">
      <w:pPr>
        <w:pStyle w:val="BodyText"/>
      </w:pPr>
      <w:r>
        <w:br w:type="page"/>
      </w:r>
    </w:p>
    <w:p w14:paraId="3802B6F8" w14:textId="77777777" w:rsidR="00552124" w:rsidRPr="00552124" w:rsidRDefault="00552124" w:rsidP="00552124">
      <w:pPr>
        <w:pStyle w:val="Heading2"/>
        <w:rPr>
          <w:lang w:val="en-GB"/>
        </w:rPr>
      </w:pPr>
      <w:r w:rsidRPr="00552124">
        <w:rPr>
          <w:lang w:val="en-GB"/>
        </w:rPr>
        <w:lastRenderedPageBreak/>
        <w:t>Incentives for giving working group</w:t>
      </w:r>
    </w:p>
    <w:p w14:paraId="5B320D07" w14:textId="77777777" w:rsidR="00552124" w:rsidRPr="00552124" w:rsidRDefault="00552124" w:rsidP="00552124">
      <w:pPr>
        <w:pStyle w:val="BodyText"/>
      </w:pPr>
      <w:r w:rsidRPr="00552124">
        <w:t xml:space="preserve">The Incentives for giving working group was formed to explore mechanisms that support a culture of giving over a lifetime and to eliminate barriers to giving. </w:t>
      </w:r>
    </w:p>
    <w:p w14:paraId="2A2AA394" w14:textId="77777777" w:rsidR="00552124" w:rsidRPr="00552124" w:rsidRDefault="00552124" w:rsidP="00552124">
      <w:pPr>
        <w:pStyle w:val="BodyText"/>
      </w:pPr>
      <w:r w:rsidRPr="00552124">
        <w:t xml:space="preserve">Innovative solutions are needed to re-invigorate philanthropy, particularly planned giving, as charities are seeking long-term income streams to finance their capital expenditure and community programmes. </w:t>
      </w:r>
    </w:p>
    <w:p w14:paraId="40D23D08" w14:textId="77777777" w:rsidR="00552124" w:rsidRPr="00552124" w:rsidRDefault="00552124" w:rsidP="00552124">
      <w:pPr>
        <w:pStyle w:val="BodyText"/>
      </w:pPr>
      <w:r w:rsidRPr="00552124">
        <w:t>Australians give generously, in particular in response to national disasters. However, research shows that people who plan their giving donate four times as much as spontaneous or reactive givers</w:t>
      </w:r>
      <w:r w:rsidR="00EE4B97">
        <w:rPr>
          <w:rStyle w:val="FootnoteReference"/>
        </w:rPr>
        <w:footnoteReference w:id="6"/>
      </w:r>
      <w:r w:rsidRPr="00552124">
        <w:t xml:space="preserve">. </w:t>
      </w:r>
    </w:p>
    <w:p w14:paraId="5C7C34B2" w14:textId="77777777" w:rsidR="00552124" w:rsidRPr="00552124" w:rsidRDefault="00552124" w:rsidP="00837F53">
      <w:pPr>
        <w:pStyle w:val="BodyText"/>
      </w:pPr>
      <w:r w:rsidRPr="00552124">
        <w:t>Workplace giving attracts just 4.5 per cent of employees in</w:t>
      </w:r>
      <w:r>
        <w:t xml:space="preserve"> </w:t>
      </w:r>
      <w:r w:rsidRPr="00552124">
        <w:t>programme</w:t>
      </w:r>
      <w:r w:rsidR="00EE4B97">
        <w:rPr>
          <w:rStyle w:val="FootnoteReference"/>
        </w:rPr>
        <w:footnoteReference w:id="7"/>
      </w:r>
      <w:r w:rsidRPr="00552124">
        <w:t>.</w:t>
      </w:r>
    </w:p>
    <w:p w14:paraId="23FE73DF" w14:textId="77777777" w:rsidR="00552124" w:rsidRDefault="00552124" w:rsidP="00552124">
      <w:pPr>
        <w:pStyle w:val="ListBullet"/>
        <w:numPr>
          <w:ilvl w:val="0"/>
          <w:numId w:val="0"/>
        </w:numPr>
      </w:pPr>
      <w:r w:rsidRPr="00552124">
        <w:t>Only 3.8 per cent of first estates (with a surviving spouse) included a charitable bequest, while 7.6 per cent of final estates made a charitable bequest. Charitable bequests accounted for only two per cent of the total value of estates</w:t>
      </w:r>
      <w:r w:rsidR="00EE4B97">
        <w:rPr>
          <w:rStyle w:val="FootnoteReference"/>
        </w:rPr>
        <w:footnoteReference w:id="8"/>
      </w:r>
      <w:r w:rsidRPr="00552124">
        <w:t>.</w:t>
      </w:r>
    </w:p>
    <w:p w14:paraId="73AFF85E" w14:textId="77777777" w:rsidR="00C34F70" w:rsidRDefault="00C34F70" w:rsidP="00C34F70">
      <w:pPr>
        <w:pStyle w:val="SubHeading"/>
      </w:pPr>
      <w:r>
        <w:t>4.5% of employees participate in workplace giving when offered</w:t>
      </w:r>
    </w:p>
    <w:p w14:paraId="40D81D7E" w14:textId="77777777" w:rsidR="00552124" w:rsidRPr="00552124" w:rsidRDefault="00552124" w:rsidP="00552124">
      <w:pPr>
        <w:pStyle w:val="BodyText"/>
      </w:pPr>
      <w:r w:rsidRPr="00552124">
        <w:t>A growing number of Australians are in a position to give on a significant scale. The wealth available for bequests is forecast to grow significantly as the ‘baby boomers’ age—from $8.8 billion in 2000 to more than $70 billion in 2030</w:t>
      </w:r>
      <w:r w:rsidR="00EE4B97">
        <w:rPr>
          <w:rStyle w:val="FootnoteReference"/>
        </w:rPr>
        <w:footnoteReference w:id="9"/>
      </w:r>
      <w:r w:rsidRPr="00552124">
        <w:t xml:space="preserve">. </w:t>
      </w:r>
    </w:p>
    <w:p w14:paraId="3DF0419E" w14:textId="77777777" w:rsidR="00552124" w:rsidRPr="00552124" w:rsidRDefault="00552124" w:rsidP="00552124">
      <w:pPr>
        <w:pStyle w:val="BodyText"/>
      </w:pPr>
      <w:r w:rsidRPr="00552124">
        <w:t>During 2015, the working group investigated strategies to harness this expected growth and encourage a shift in Australia’s giving culture, from spontaneous to planned giving. Such a shift could have a significant impact on rates of giving and volunteering in Australia, especially if pursued alongside reduced regulatory barriers and red tape around giving.</w:t>
      </w:r>
    </w:p>
    <w:p w14:paraId="451211E1" w14:textId="77777777" w:rsidR="00552124" w:rsidRPr="00552124" w:rsidRDefault="00552124" w:rsidP="00552124">
      <w:pPr>
        <w:pStyle w:val="BodyText"/>
      </w:pPr>
      <w:r w:rsidRPr="00552124">
        <w:t xml:space="preserve">In the first half of the year, the group hosted a number of roundtables and met with a wide range of government and sector stakeholders, practitioners, leaders and experts to canvass the key issues, understand the obstacles to giving and volunteering and test new ideas to grow giving. </w:t>
      </w:r>
    </w:p>
    <w:p w14:paraId="6144C984" w14:textId="77777777" w:rsidR="00552124" w:rsidRPr="00552124" w:rsidRDefault="00552124" w:rsidP="00552124">
      <w:pPr>
        <w:pStyle w:val="BodyText"/>
      </w:pPr>
      <w:r w:rsidRPr="00552124">
        <w:t>The group took on board several proposals developed by key stakeholders including Philanthropy Australia, Charities Aid Foundation and CEOs from major Australian community foundations across Australia.</w:t>
      </w:r>
    </w:p>
    <w:p w14:paraId="26F3B28F" w14:textId="77777777" w:rsidR="00552124" w:rsidRPr="00552124" w:rsidRDefault="00552124" w:rsidP="00552124">
      <w:pPr>
        <w:pStyle w:val="BodyText"/>
      </w:pPr>
      <w:r w:rsidRPr="00C34F70">
        <w:rPr>
          <w:i/>
        </w:rPr>
        <w:t>The Prime Minister’s Community Business Partnership has been a very useful forum for the discussion of reforms to the overly complex tax regulation related to philanthropic giving.</w:t>
      </w:r>
      <w:r w:rsidRPr="00552124">
        <w:t xml:space="preserve"> Jan Jose, CEO Sydney Community Foundation (on behalf of the national peak body Australian Community Philanthropy)</w:t>
      </w:r>
    </w:p>
    <w:p w14:paraId="6E15D71C" w14:textId="77777777" w:rsidR="00552124" w:rsidRDefault="00552124" w:rsidP="00552124">
      <w:pPr>
        <w:pStyle w:val="ListBullet"/>
        <w:numPr>
          <w:ilvl w:val="0"/>
          <w:numId w:val="0"/>
        </w:numPr>
      </w:pPr>
      <w:r w:rsidRPr="00552124">
        <w:t>In the second part of 2015, the working group explored alternative planned giving approaches in consultation with financial service providers, philanthropists and charities.</w:t>
      </w:r>
    </w:p>
    <w:p w14:paraId="56EA5218" w14:textId="77777777" w:rsidR="00C34F70" w:rsidRPr="00C34F70" w:rsidRDefault="00C34F70" w:rsidP="00C34F70">
      <w:pPr>
        <w:pStyle w:val="Italic"/>
      </w:pPr>
      <w:r w:rsidRPr="00C34F70">
        <w:t xml:space="preserve">Government’s leadership, commitment and focus can bring significant reform and information to the sector. For example, the concept of the ‘community development trust’ helps people give in a sustained way to a charity. This can ease pressure on public funding and, importantly, help charities plan and budget so they can be sustainable and thrive. </w:t>
      </w:r>
    </w:p>
    <w:p w14:paraId="765C458C" w14:textId="77777777" w:rsidR="00C34F70" w:rsidRPr="00C34F70" w:rsidRDefault="00C34F70" w:rsidP="00C34F70">
      <w:pPr>
        <w:pStyle w:val="BodyBold"/>
        <w:spacing w:after="0"/>
      </w:pPr>
      <w:r w:rsidRPr="00C34F70">
        <w:t>Angela Perry</w:t>
      </w:r>
    </w:p>
    <w:p w14:paraId="4CE4FC1A" w14:textId="77777777" w:rsidR="00C34F70" w:rsidRDefault="00C34F70" w:rsidP="00C34F70">
      <w:pPr>
        <w:pStyle w:val="BodyText"/>
      </w:pPr>
      <w:r w:rsidRPr="00C34F70">
        <w:t>Partnership member</w:t>
      </w:r>
    </w:p>
    <w:p w14:paraId="07A84F2F" w14:textId="77777777" w:rsidR="00C34F70" w:rsidRDefault="00C34F70">
      <w:r>
        <w:br w:type="page"/>
      </w:r>
    </w:p>
    <w:p w14:paraId="5EF27A77" w14:textId="77777777" w:rsidR="00C34F70" w:rsidRDefault="00C34F70" w:rsidP="00C34F70">
      <w:pPr>
        <w:pStyle w:val="SubHeading"/>
      </w:pPr>
      <w:r>
        <w:lastRenderedPageBreak/>
        <w:t>1339 Private Ancillary Funds established since 2001</w:t>
      </w:r>
    </w:p>
    <w:p w14:paraId="17511082" w14:textId="77777777" w:rsidR="00552124" w:rsidRPr="00552124" w:rsidRDefault="00552124" w:rsidP="00552124">
      <w:pPr>
        <w:pStyle w:val="BodyText"/>
      </w:pPr>
      <w:r w:rsidRPr="00552124">
        <w:t>Some 1 339 Private Ancillary Funds have been established (as at 30 June 2015) since they were introduced in 2001</w:t>
      </w:r>
      <w:r w:rsidR="00EE4B97">
        <w:rPr>
          <w:rStyle w:val="FootnoteReference"/>
        </w:rPr>
        <w:footnoteReference w:id="10"/>
      </w:r>
      <w:r w:rsidRPr="00552124">
        <w:t xml:space="preserve">. </w:t>
      </w:r>
    </w:p>
    <w:p w14:paraId="1BF30693" w14:textId="77777777" w:rsidR="00552124" w:rsidRPr="00552124" w:rsidRDefault="00552124" w:rsidP="00552124">
      <w:pPr>
        <w:pStyle w:val="BodyText"/>
      </w:pPr>
      <w:r w:rsidRPr="00552124">
        <w:t xml:space="preserve">Although Private Ancillary Funds meet the needs of high-net-worth individuals willing to permanently donate their capital and manage the ongoing distribution, they are not suitable for everyone. </w:t>
      </w:r>
    </w:p>
    <w:p w14:paraId="554FE37B" w14:textId="77777777" w:rsidR="00552124" w:rsidRPr="00552124" w:rsidRDefault="00552124" w:rsidP="00552124">
      <w:pPr>
        <w:pStyle w:val="BodyText"/>
      </w:pPr>
      <w:r w:rsidRPr="00552124">
        <w:t xml:space="preserve">The Partnership has recommended to Government new giving structures to increase donor flexibility and grow philanthropy. These aim to fill a gap in the options currently available to high-net-worth and ‘second tier’ donors. </w:t>
      </w:r>
    </w:p>
    <w:p w14:paraId="74D6DAB8" w14:textId="77777777" w:rsidR="00552124" w:rsidRPr="00552124" w:rsidRDefault="00552124" w:rsidP="00552124">
      <w:pPr>
        <w:pStyle w:val="BodyText"/>
      </w:pPr>
      <w:r w:rsidRPr="00552124">
        <w:t xml:space="preserve">The new structures would be expected to: </w:t>
      </w:r>
    </w:p>
    <w:p w14:paraId="7191BA67" w14:textId="77777777" w:rsidR="00552124" w:rsidRPr="00552124" w:rsidRDefault="00552124" w:rsidP="00552124">
      <w:pPr>
        <w:pStyle w:val="ListBullet"/>
      </w:pPr>
      <w:r w:rsidRPr="00552124">
        <w:t>increase the overall level of philanthropy in Australia</w:t>
      </w:r>
    </w:p>
    <w:p w14:paraId="7EA90178" w14:textId="77777777" w:rsidR="00552124" w:rsidRPr="00552124" w:rsidRDefault="00552124" w:rsidP="00552124">
      <w:pPr>
        <w:pStyle w:val="ListBullet"/>
      </w:pPr>
      <w:r w:rsidRPr="00552124">
        <w:t>engage new groups of donors in planned giving</w:t>
      </w:r>
    </w:p>
    <w:p w14:paraId="34AA42C5" w14:textId="77777777" w:rsidR="00552124" w:rsidRDefault="00552124" w:rsidP="00552124">
      <w:pPr>
        <w:pStyle w:val="ListBullet"/>
      </w:pPr>
      <w:proofErr w:type="gramStart"/>
      <w:r w:rsidRPr="00552124">
        <w:t>provide</w:t>
      </w:r>
      <w:proofErr w:type="gramEnd"/>
      <w:r w:rsidRPr="00552124">
        <w:t xml:space="preserve"> an alternative, reliable and sustainable income stream for charities.</w:t>
      </w:r>
    </w:p>
    <w:p w14:paraId="02D041E2" w14:textId="77777777" w:rsidR="00342CE4" w:rsidRPr="00342CE4" w:rsidRDefault="00342CE4" w:rsidP="00342CE4">
      <w:pPr>
        <w:pStyle w:val="Italic"/>
      </w:pPr>
      <w:r w:rsidRPr="00342CE4">
        <w:t xml:space="preserve">We need to view philanthropy as a catalytic resource to underpin new and innovative approaches, which can be rolled out at scale if effective. Philanthropy is risk capital that complements core funding provided by government for the services required for strong communities. That’s why it’s important to focus our efforts on exploring social impact partnerships between philanthropy, government and the community as a new way to drive change. </w:t>
      </w:r>
    </w:p>
    <w:p w14:paraId="0A7C2511" w14:textId="77777777" w:rsidR="00342CE4" w:rsidRPr="00342CE4" w:rsidRDefault="00342CE4" w:rsidP="00342CE4">
      <w:pPr>
        <w:pStyle w:val="BodyBold"/>
        <w:spacing w:after="0"/>
      </w:pPr>
      <w:r w:rsidRPr="00342CE4">
        <w:t>Nicola Forrest</w:t>
      </w:r>
    </w:p>
    <w:p w14:paraId="57A6A5DD" w14:textId="77777777" w:rsidR="00342CE4" w:rsidRDefault="00342CE4" w:rsidP="00342CE4">
      <w:pPr>
        <w:pStyle w:val="BodyText"/>
      </w:pPr>
      <w:r w:rsidRPr="00342CE4">
        <w:t>Partnership member</w:t>
      </w:r>
    </w:p>
    <w:p w14:paraId="2F35F1F5" w14:textId="77777777" w:rsidR="00552124" w:rsidRDefault="00552124" w:rsidP="00552124">
      <w:pPr>
        <w:pStyle w:val="Heading2"/>
      </w:pPr>
      <w:r w:rsidRPr="00552124">
        <w:t>Impact investing and partnerships working group</w:t>
      </w:r>
    </w:p>
    <w:p w14:paraId="43901706" w14:textId="77777777" w:rsidR="00552124" w:rsidRDefault="00552124" w:rsidP="00552124">
      <w:pPr>
        <w:pStyle w:val="BodyText"/>
      </w:pPr>
      <w:r w:rsidRPr="00552124">
        <w:t>The Impact investing and partnerships working group was formed to consider the potential of innovative investment and finance models and structures to support a culture of giving and service.</w:t>
      </w:r>
    </w:p>
    <w:p w14:paraId="09D024EA" w14:textId="77777777" w:rsidR="00552124" w:rsidRPr="00552124" w:rsidRDefault="00342CE4" w:rsidP="00552124">
      <w:pPr>
        <w:pStyle w:val="BodyText"/>
      </w:pPr>
      <w:r w:rsidRPr="00342CE4">
        <w:t>I</w:t>
      </w:r>
      <w:r w:rsidR="00552124" w:rsidRPr="00342CE4">
        <w:t>n 2015</w:t>
      </w:r>
      <w:r w:rsidR="00552124" w:rsidRPr="00552124">
        <w:t xml:space="preserve">, this working group looked into opportunities for growing innovative investment models and promoting collaborative cross-sector partnerships. </w:t>
      </w:r>
    </w:p>
    <w:p w14:paraId="1124CF6C" w14:textId="77777777" w:rsidR="00552124" w:rsidRPr="00552124" w:rsidRDefault="00552124" w:rsidP="00552124">
      <w:pPr>
        <w:pStyle w:val="BodyText"/>
      </w:pPr>
      <w:r w:rsidRPr="00552124">
        <w:t xml:space="preserve">Based on the group’s work, the Partnership has recommended revising and clarifying regulations so foundations can more effectively use their resources to achieve their mission through impact investing, as they can in the United States. </w:t>
      </w:r>
    </w:p>
    <w:p w14:paraId="4C360E5E" w14:textId="77777777" w:rsidR="00552124" w:rsidRPr="00552124" w:rsidRDefault="00552124" w:rsidP="00552124">
      <w:pPr>
        <w:pStyle w:val="BodyText"/>
      </w:pPr>
      <w:r w:rsidRPr="00552124">
        <w:t>This approach would provide foundations with more flexibility to leverage scarce grant dollars, effectively recycling investment returns</w:t>
      </w:r>
      <w:r>
        <w:t xml:space="preserve"> </w:t>
      </w:r>
      <w:r w:rsidRPr="00552124">
        <w:t>into future grant distributions.</w:t>
      </w:r>
    </w:p>
    <w:p w14:paraId="50D20576" w14:textId="77777777" w:rsidR="00552124" w:rsidRDefault="00552124" w:rsidP="00552124">
      <w:pPr>
        <w:pStyle w:val="BodyText"/>
      </w:pPr>
      <w:r w:rsidRPr="00552124">
        <w:t>The Partnership sees impact investment as an opportunity to attract new resources and expertise that can address disadvantage and strengthen communities, to reduce reliance on government. Future work will build on recommendations of the Financial Systems Inquiry and the G8 Social Impact Investment Taskforce</w:t>
      </w:r>
      <w:r w:rsidR="00EE4B97">
        <w:rPr>
          <w:rStyle w:val="FootnoteReference"/>
        </w:rPr>
        <w:footnoteReference w:id="11"/>
      </w:r>
      <w:r w:rsidRPr="00552124">
        <w:t>.</w:t>
      </w:r>
    </w:p>
    <w:p w14:paraId="24286D7D" w14:textId="77777777" w:rsidR="00552124" w:rsidRDefault="00552124" w:rsidP="00552124">
      <w:pPr>
        <w:pStyle w:val="BodyText"/>
      </w:pPr>
      <w:r w:rsidRPr="00552124">
        <w:t>To inform its recommendations to Government, the Impact investing and partnerships working group commissioned research projects into social impact investing and programme related investments.</w:t>
      </w:r>
    </w:p>
    <w:p w14:paraId="3DFD2449" w14:textId="77777777" w:rsidR="00342CE4" w:rsidRPr="0058129C" w:rsidRDefault="00342CE4" w:rsidP="00342CE4">
      <w:pPr>
        <w:pStyle w:val="Italic"/>
      </w:pPr>
      <w:r w:rsidRPr="0058129C">
        <w:t xml:space="preserve">The Impact investing and partnerships working group wants to hear from people with ideas for how Australia can better support the emerging impact investment market. We are particularly interested in hearing from social entrepreneurs so we can better understand their needs in this context. </w:t>
      </w:r>
    </w:p>
    <w:p w14:paraId="3365D020" w14:textId="77777777" w:rsidR="00342CE4" w:rsidRPr="0058129C" w:rsidRDefault="00342CE4" w:rsidP="00342CE4">
      <w:pPr>
        <w:pStyle w:val="BodyBold"/>
        <w:spacing w:after="0"/>
      </w:pPr>
      <w:r w:rsidRPr="0058129C">
        <w:t>Ben Gales</w:t>
      </w:r>
    </w:p>
    <w:p w14:paraId="63EE19AA" w14:textId="77777777" w:rsidR="00342CE4" w:rsidRDefault="00342CE4" w:rsidP="00342CE4">
      <w:pPr>
        <w:pStyle w:val="BodyText"/>
      </w:pPr>
      <w:r w:rsidRPr="0058129C">
        <w:t>Partnership member</w:t>
      </w:r>
    </w:p>
    <w:p w14:paraId="405B77E2" w14:textId="77777777" w:rsidR="00552124" w:rsidRPr="00552124" w:rsidRDefault="00552124" w:rsidP="00552124">
      <w:pPr>
        <w:pStyle w:val="Heading3"/>
      </w:pPr>
      <w:r w:rsidRPr="00552124">
        <w:t>Social impact investing</w:t>
      </w:r>
    </w:p>
    <w:p w14:paraId="1012ECE0" w14:textId="77777777" w:rsidR="00552124" w:rsidRPr="00552124" w:rsidRDefault="00552124" w:rsidP="00552124">
      <w:pPr>
        <w:pStyle w:val="BodyText"/>
      </w:pPr>
      <w:r w:rsidRPr="00552124">
        <w:t xml:space="preserve">EY was engaged to identify the potential benefits to the Australian Government of different forms of social impact investment. </w:t>
      </w:r>
    </w:p>
    <w:p w14:paraId="411603B3" w14:textId="77777777" w:rsidR="00552124" w:rsidRDefault="00552124" w:rsidP="00552124">
      <w:pPr>
        <w:pStyle w:val="BodyText"/>
      </w:pPr>
      <w:r w:rsidRPr="00552124">
        <w:lastRenderedPageBreak/>
        <w:t>Early findings suggest there is some evidence that social impact investment approaches may have potential to offer viable alternatives to existing funding mechanisms and service delivery. There is also growing interest in social impact investment among the philanthropic and community sectors.</w:t>
      </w:r>
    </w:p>
    <w:p w14:paraId="0498B7F5" w14:textId="77777777" w:rsidR="00552124" w:rsidRDefault="00552124" w:rsidP="00552124">
      <w:pPr>
        <w:pStyle w:val="Heading3"/>
      </w:pPr>
      <w:r w:rsidRPr="00552124">
        <w:t>Programme related investments</w:t>
      </w:r>
    </w:p>
    <w:p w14:paraId="71D5E1E1" w14:textId="77777777" w:rsidR="00552124" w:rsidRPr="00552124" w:rsidRDefault="00552124" w:rsidP="00552124">
      <w:pPr>
        <w:pStyle w:val="BodyText"/>
      </w:pPr>
      <w:r w:rsidRPr="00552124">
        <w:t xml:space="preserve">Early findings from this research and stakeholder consultation project by Philanthropy Australia indicate some support among Australian foundations, experts and intermediaries for the introduction of a programme related investment framework in Australia. </w:t>
      </w:r>
    </w:p>
    <w:p w14:paraId="35477790" w14:textId="77777777" w:rsidR="00552124" w:rsidRPr="00552124" w:rsidRDefault="00552124" w:rsidP="00552124">
      <w:pPr>
        <w:pStyle w:val="BodyText"/>
      </w:pPr>
      <w:r w:rsidRPr="00552124">
        <w:t>Advantages include providing:</w:t>
      </w:r>
    </w:p>
    <w:p w14:paraId="11C2AED9" w14:textId="77777777" w:rsidR="00552124" w:rsidRPr="00552124" w:rsidRDefault="00552124" w:rsidP="00552124">
      <w:pPr>
        <w:pStyle w:val="ListBullet"/>
      </w:pPr>
      <w:r w:rsidRPr="00552124">
        <w:t>an alternative way for foundations to give to charities, particularly for those without the capacity to engage in mission</w:t>
      </w:r>
      <w:r>
        <w:t xml:space="preserve"> </w:t>
      </w:r>
      <w:r w:rsidRPr="00552124">
        <w:t xml:space="preserve">related investments </w:t>
      </w:r>
    </w:p>
    <w:p w14:paraId="74BA8502" w14:textId="77777777" w:rsidR="00342CE4" w:rsidRDefault="00552124" w:rsidP="00552124">
      <w:pPr>
        <w:pStyle w:val="ListBullet"/>
      </w:pPr>
      <w:r w:rsidRPr="00552124">
        <w:t>potential for programme related investment to be used for ‘layered’ funding between grants and mission related investments, enabling more effective targeting of philanthropic support by foundations to suit particular circumstances.</w:t>
      </w:r>
    </w:p>
    <w:p w14:paraId="328D9730" w14:textId="77777777" w:rsidR="00342CE4" w:rsidRDefault="00342CE4" w:rsidP="00342CE4">
      <w:pPr>
        <w:pStyle w:val="BodyText"/>
      </w:pPr>
      <w:r>
        <w:br w:type="page"/>
      </w:r>
    </w:p>
    <w:p w14:paraId="7CEDD0D8" w14:textId="77777777" w:rsidR="00552124" w:rsidRPr="00552124" w:rsidRDefault="00552124" w:rsidP="00DE6218">
      <w:pPr>
        <w:pStyle w:val="Heading2"/>
      </w:pPr>
      <w:r w:rsidRPr="00552124">
        <w:lastRenderedPageBreak/>
        <w:t>Culture and platforms to maximise giving working group</w:t>
      </w:r>
    </w:p>
    <w:p w14:paraId="4A71E874" w14:textId="77777777" w:rsidR="00552124" w:rsidRPr="00552124" w:rsidRDefault="00552124" w:rsidP="00552124">
      <w:pPr>
        <w:pStyle w:val="BodyText"/>
      </w:pPr>
      <w:r w:rsidRPr="00552124">
        <w:t xml:space="preserve">The Culture and platforms to maximise giving working group was formed to explore how to make giving simpler and more accessible for existing donors and how to attract new donors. </w:t>
      </w:r>
    </w:p>
    <w:p w14:paraId="0EEF78E5" w14:textId="77777777" w:rsidR="00552124" w:rsidRPr="00552124" w:rsidRDefault="00552124" w:rsidP="00552124">
      <w:pPr>
        <w:pStyle w:val="BodyText"/>
      </w:pPr>
      <w:r w:rsidRPr="00552124">
        <w:t xml:space="preserve">This has included a focus on: </w:t>
      </w:r>
    </w:p>
    <w:p w14:paraId="13FD9900" w14:textId="77777777" w:rsidR="00552124" w:rsidRPr="00552124" w:rsidRDefault="00552124" w:rsidP="00552124">
      <w:pPr>
        <w:pStyle w:val="ListBullet"/>
      </w:pPr>
      <w:r w:rsidRPr="00552124">
        <w:t>exploring existing and emerging technologies and platforms that enable people to give ‘time, treasure and talent’</w:t>
      </w:r>
    </w:p>
    <w:p w14:paraId="02E34422" w14:textId="77777777" w:rsidR="00552124" w:rsidRPr="00552124" w:rsidRDefault="00552124" w:rsidP="00552124">
      <w:pPr>
        <w:pStyle w:val="ListBullet"/>
      </w:pPr>
      <w:r w:rsidRPr="00552124">
        <w:t>better understanding cultural impacts on giving and volunteering for Australians from diverse cultural backgrounds</w:t>
      </w:r>
    </w:p>
    <w:p w14:paraId="63B9897E" w14:textId="77777777" w:rsidR="00552124" w:rsidRPr="00552124" w:rsidRDefault="00552124" w:rsidP="00552124">
      <w:pPr>
        <w:pStyle w:val="ListBullet"/>
      </w:pPr>
      <w:proofErr w:type="gramStart"/>
      <w:r w:rsidRPr="00552124">
        <w:t>considering</w:t>
      </w:r>
      <w:proofErr w:type="gramEnd"/>
      <w:r w:rsidRPr="00552124">
        <w:t xml:space="preserve"> the potential for collective giving platforms such as giving circles and impact 100s. </w:t>
      </w:r>
    </w:p>
    <w:p w14:paraId="5FDC8901" w14:textId="77777777" w:rsidR="00552124" w:rsidRPr="00552124" w:rsidRDefault="00552124" w:rsidP="00552124">
      <w:pPr>
        <w:pStyle w:val="BodyText"/>
      </w:pPr>
      <w:r w:rsidRPr="00552124">
        <w:t xml:space="preserve">The group has found that while there are many existing and emerging technologies and platforms, there is a need to disseminate and share knowledge between not-for-profits about the diversity of platforms and their offerings. </w:t>
      </w:r>
    </w:p>
    <w:p w14:paraId="2A80E13A" w14:textId="77777777" w:rsidR="00552124" w:rsidRDefault="00552124" w:rsidP="00552124">
      <w:pPr>
        <w:pStyle w:val="BodyText"/>
      </w:pPr>
      <w:r w:rsidRPr="00552124">
        <w:t xml:space="preserve">Not-for-profit organisations often consider the cost of investing in technology and infrastructure a large and difficult obstacle. However, the ability to communicate and receive donations in innovative ways will be increasingly important for all charitable organisations. </w:t>
      </w:r>
    </w:p>
    <w:p w14:paraId="2D4D3D32" w14:textId="77777777" w:rsidR="00342CE4" w:rsidRPr="00342CE4" w:rsidRDefault="00342CE4" w:rsidP="00342CE4">
      <w:pPr>
        <w:pStyle w:val="Italic"/>
      </w:pPr>
      <w:r w:rsidRPr="00342CE4">
        <w:t xml:space="preserve">Emerging technology and innovation have the potential to bring Australia’s long tradition of giving and community service into the 21st century. </w:t>
      </w:r>
    </w:p>
    <w:p w14:paraId="073179D0" w14:textId="77777777" w:rsidR="00342CE4" w:rsidRPr="00342CE4" w:rsidRDefault="00342CE4" w:rsidP="00342CE4">
      <w:pPr>
        <w:pStyle w:val="BodyBold"/>
        <w:spacing w:after="0"/>
      </w:pPr>
      <w:r w:rsidRPr="00342CE4">
        <w:t>Alexandra Gartmann</w:t>
      </w:r>
    </w:p>
    <w:p w14:paraId="101AE174" w14:textId="77777777" w:rsidR="00342CE4" w:rsidRDefault="00342CE4" w:rsidP="00342CE4">
      <w:pPr>
        <w:pStyle w:val="BodyText"/>
      </w:pPr>
      <w:r w:rsidRPr="00342CE4">
        <w:t>Partnership member</w:t>
      </w:r>
    </w:p>
    <w:p w14:paraId="7247DE27" w14:textId="77777777" w:rsidR="00342CE4" w:rsidRDefault="00342CE4" w:rsidP="00342CE4">
      <w:pPr>
        <w:pStyle w:val="SubHeading"/>
      </w:pPr>
      <w:r>
        <w:t>Rural and regional Australia could benefit from increased technologies and platforms for giving and volunteerin</w:t>
      </w:r>
    </w:p>
    <w:p w14:paraId="4A227527" w14:textId="77777777" w:rsidR="00552124" w:rsidRPr="00552124" w:rsidRDefault="00552124" w:rsidP="00552124">
      <w:pPr>
        <w:pStyle w:val="BodyText"/>
      </w:pPr>
      <w:r w:rsidRPr="00552124">
        <w:t>Between 2010 and 2014, the Australian Bureau of Statistics recorded a fall in the national volunteering rate from 36 per cent to 31 per cent</w:t>
      </w:r>
      <w:r w:rsidR="00EE4B97">
        <w:rPr>
          <w:rStyle w:val="FootnoteReference"/>
        </w:rPr>
        <w:footnoteReference w:id="12"/>
      </w:r>
      <w:r w:rsidRPr="00552124">
        <w:t xml:space="preserve">. </w:t>
      </w:r>
    </w:p>
    <w:p w14:paraId="26F54418" w14:textId="77777777" w:rsidR="00552124" w:rsidRPr="00552124" w:rsidRDefault="00552124" w:rsidP="00552124">
      <w:pPr>
        <w:pStyle w:val="BodyText"/>
      </w:pPr>
      <w:r w:rsidRPr="00552124">
        <w:t>Not-for-profits must be able to maximise the opportunities of the digital age and to attract donors and volunteers from younger demographics and people from diverse cultural backgrounds.</w:t>
      </w:r>
    </w:p>
    <w:p w14:paraId="2A4207EA" w14:textId="77777777" w:rsidR="00552124" w:rsidRPr="00552124" w:rsidRDefault="00552124" w:rsidP="00552124">
      <w:pPr>
        <w:pStyle w:val="BodyText"/>
      </w:pPr>
      <w:r w:rsidRPr="00552124">
        <w:t>In particular, individuals and not-for-profits in rural and regional areas of Australia are potential beneficiaries of increased technologies and platforms for giving and volunteering, both as donors and as recipients.</w:t>
      </w:r>
    </w:p>
    <w:p w14:paraId="42366284" w14:textId="77777777" w:rsidR="00552124" w:rsidRDefault="00552124" w:rsidP="00552124">
      <w:pPr>
        <w:pStyle w:val="BodyText"/>
      </w:pPr>
      <w:r w:rsidRPr="00552124">
        <w:t>To inform its recommendations to Government, the Culture and platforms to maximise giving working group commissioned</w:t>
      </w:r>
      <w:r>
        <w:t xml:space="preserve"> </w:t>
      </w:r>
      <w:r w:rsidRPr="00552124">
        <w:t>research projects into </w:t>
      </w:r>
      <w:proofErr w:type="spellStart"/>
      <w:r w:rsidRPr="00552124">
        <w:t>cybergenerosity</w:t>
      </w:r>
      <w:proofErr w:type="spellEnd"/>
      <w:r w:rsidRPr="00552124">
        <w:t xml:space="preserve"> (emerging technologies and platforms) and giving and volunteering in multicultural and Indigenous communities. </w:t>
      </w:r>
    </w:p>
    <w:p w14:paraId="3B6E38DF" w14:textId="77777777" w:rsidR="00552124" w:rsidRPr="00552124" w:rsidRDefault="00552124" w:rsidP="00552124">
      <w:pPr>
        <w:pStyle w:val="Heading3"/>
      </w:pPr>
      <w:proofErr w:type="spellStart"/>
      <w:r w:rsidRPr="00552124">
        <w:t>Cybergenerosity</w:t>
      </w:r>
      <w:proofErr w:type="spellEnd"/>
      <w:r w:rsidRPr="00552124">
        <w:t xml:space="preserve"> and the winds of change—emerging technologies and platforms </w:t>
      </w:r>
    </w:p>
    <w:p w14:paraId="0E889177" w14:textId="77777777" w:rsidR="00552124" w:rsidRDefault="00552124" w:rsidP="00552124">
      <w:pPr>
        <w:pStyle w:val="BodyText"/>
      </w:pPr>
      <w:r w:rsidRPr="00552124">
        <w:t>The Australian Centre for Philanthropy and Nonprofit Studies was commissioned to explore the new and emerging technologies and platforms that are changing how people give and volunteer.</w:t>
      </w:r>
    </w:p>
    <w:p w14:paraId="28413C87" w14:textId="77777777" w:rsidR="00552124" w:rsidRPr="00552124" w:rsidRDefault="00552124" w:rsidP="00552124">
      <w:pPr>
        <w:pStyle w:val="BodyText"/>
      </w:pPr>
      <w:r w:rsidRPr="00552124">
        <w:t xml:space="preserve">This research is considering barriers for the not-for-profit sector and has so far identified the following opportunities for greater engagement, usage and growth: </w:t>
      </w:r>
    </w:p>
    <w:p w14:paraId="69BBC6A8" w14:textId="77777777" w:rsidR="00552124" w:rsidRPr="00552124" w:rsidRDefault="00552124" w:rsidP="00552124">
      <w:pPr>
        <w:pStyle w:val="ListBullet"/>
      </w:pPr>
      <w:r w:rsidRPr="00552124">
        <w:t>scope for virtual volunteering to increase volunteering rates particularly in ‘</w:t>
      </w:r>
      <w:proofErr w:type="spellStart"/>
      <w:r w:rsidRPr="00552124">
        <w:t>experteering</w:t>
      </w:r>
      <w:proofErr w:type="spellEnd"/>
      <w:r w:rsidRPr="00552124">
        <w:t>’ (volunteering by experts in a particular field)</w:t>
      </w:r>
    </w:p>
    <w:p w14:paraId="63C0FD09" w14:textId="77777777" w:rsidR="00552124" w:rsidRPr="00552124" w:rsidRDefault="00552124" w:rsidP="00552124">
      <w:pPr>
        <w:pStyle w:val="ListBullet"/>
      </w:pPr>
      <w:r w:rsidRPr="00552124">
        <w:t>use of online platforms to engage donors more fully and increase the likelihood of ongoing commitment to their chosen cause</w:t>
      </w:r>
    </w:p>
    <w:p w14:paraId="7DB83295" w14:textId="77777777" w:rsidR="00552124" w:rsidRPr="00552124" w:rsidRDefault="00552124" w:rsidP="00552124">
      <w:pPr>
        <w:pStyle w:val="ListBullet"/>
      </w:pPr>
      <w:r w:rsidRPr="00552124">
        <w:t>use of social media networking especially for sharing visual information</w:t>
      </w:r>
    </w:p>
    <w:p w14:paraId="1E79890C" w14:textId="77777777" w:rsidR="00552124" w:rsidRPr="00552124" w:rsidRDefault="00552124" w:rsidP="00552124">
      <w:pPr>
        <w:pStyle w:val="ListBullet"/>
      </w:pPr>
      <w:r w:rsidRPr="00552124">
        <w:t>ability to capitalise on mobile technologies like ‘Premium SMS’ giving (donating via text message on a carrier that supports this)</w:t>
      </w:r>
    </w:p>
    <w:p w14:paraId="378B6235" w14:textId="77777777" w:rsidR="00552124" w:rsidRPr="00552124" w:rsidRDefault="00552124" w:rsidP="00552124">
      <w:pPr>
        <w:pStyle w:val="ListBullet"/>
      </w:pPr>
      <w:proofErr w:type="gramStart"/>
      <w:r w:rsidRPr="00552124">
        <w:t>ability</w:t>
      </w:r>
      <w:proofErr w:type="gramEnd"/>
      <w:r w:rsidRPr="00552124">
        <w:t xml:space="preserve"> to piggyback on established sites, platforms and other digital resources such as databases and human resources systems. </w:t>
      </w:r>
    </w:p>
    <w:p w14:paraId="794364B7" w14:textId="77777777" w:rsidR="00552124" w:rsidRPr="00552124" w:rsidRDefault="00552124" w:rsidP="00552124">
      <w:pPr>
        <w:pStyle w:val="BodyText"/>
      </w:pPr>
      <w:r w:rsidRPr="00552124">
        <w:lastRenderedPageBreak/>
        <w:t>Findings show that smaller not-for-profits and those in rural and</w:t>
      </w:r>
      <w:r>
        <w:t xml:space="preserve"> </w:t>
      </w:r>
      <w:r w:rsidRPr="00552124">
        <w:t xml:space="preserve">regional areas face more barriers than their medium to large or urban counterparts. </w:t>
      </w:r>
    </w:p>
    <w:p w14:paraId="297BBC0A" w14:textId="77777777" w:rsidR="00552124" w:rsidRPr="00552124" w:rsidRDefault="00552124" w:rsidP="00552124">
      <w:pPr>
        <w:pStyle w:val="BodyText"/>
      </w:pPr>
      <w:r w:rsidRPr="00552124">
        <w:t>Other key issues raised include the need:</w:t>
      </w:r>
    </w:p>
    <w:p w14:paraId="0AE99358" w14:textId="77777777" w:rsidR="00552124" w:rsidRPr="00552124" w:rsidRDefault="00552124" w:rsidP="00552124">
      <w:pPr>
        <w:pStyle w:val="ListBullet"/>
      </w:pPr>
      <w:r w:rsidRPr="00552124">
        <w:t xml:space="preserve">for the not-for-profit sector to build the capacity and skills necessary to engage effectively with these changes </w:t>
      </w:r>
    </w:p>
    <w:p w14:paraId="3DC643ED" w14:textId="77777777" w:rsidR="00552124" w:rsidRPr="00552124" w:rsidRDefault="00552124" w:rsidP="00552124">
      <w:pPr>
        <w:pStyle w:val="ListBullet"/>
      </w:pPr>
      <w:r w:rsidRPr="00552124">
        <w:t>for senior sector leadership to prioritise sourcing of expertise, funds and time to focus on technologies and platforms</w:t>
      </w:r>
    </w:p>
    <w:p w14:paraId="7A28B456" w14:textId="77777777" w:rsidR="00552124" w:rsidRPr="00552124" w:rsidRDefault="00552124" w:rsidP="00552124">
      <w:pPr>
        <w:pStyle w:val="ListBullet"/>
      </w:pPr>
      <w:r w:rsidRPr="00552124">
        <w:t xml:space="preserve">to better map the ‘bewildering array of new technology’ </w:t>
      </w:r>
    </w:p>
    <w:p w14:paraId="069B2DE6" w14:textId="77777777" w:rsidR="00552124" w:rsidRDefault="00552124" w:rsidP="00552124">
      <w:pPr>
        <w:pStyle w:val="ListBullet"/>
      </w:pPr>
      <w:proofErr w:type="gramStart"/>
      <w:r w:rsidRPr="00552124">
        <w:t>to</w:t>
      </w:r>
      <w:proofErr w:type="gramEnd"/>
      <w:r w:rsidRPr="00552124">
        <w:t xml:space="preserve"> respond to the ever increasing donor demand for technological uptake, particularly in relation to ‘ease, speed, convenience, personalisation, engagement and accountability’.</w:t>
      </w:r>
    </w:p>
    <w:p w14:paraId="0A3C7E57" w14:textId="77777777" w:rsidR="00552124" w:rsidRPr="00552124" w:rsidRDefault="00552124" w:rsidP="00552124">
      <w:pPr>
        <w:pStyle w:val="Heading3"/>
      </w:pPr>
      <w:r w:rsidRPr="00552124">
        <w:t xml:space="preserve">Giving and volunteering in multicultural and Indigenous communities </w:t>
      </w:r>
    </w:p>
    <w:p w14:paraId="4DC78268" w14:textId="77777777" w:rsidR="00552124" w:rsidRPr="00552124" w:rsidRDefault="00552124" w:rsidP="00552124">
      <w:pPr>
        <w:pStyle w:val="BodyText"/>
      </w:pPr>
      <w:r w:rsidRPr="00552124">
        <w:t xml:space="preserve">This research by the Cultural and Indigenous Research Centre Australia will identify opportunities to more effectively support people from culturally and linguistically diverse and Indigenous communities to participate in philanthropy and volunteering. </w:t>
      </w:r>
    </w:p>
    <w:p w14:paraId="79E2AF76" w14:textId="77777777" w:rsidR="00552124" w:rsidRPr="00552124" w:rsidRDefault="00552124" w:rsidP="00552124">
      <w:pPr>
        <w:pStyle w:val="BodyText"/>
      </w:pPr>
      <w:r w:rsidRPr="00552124">
        <w:t xml:space="preserve">The literature review highlighted the lack of research on the significant giving and volunteering activities in culturally and linguistically diverse and Indigenous communities. </w:t>
      </w:r>
    </w:p>
    <w:p w14:paraId="0872405A" w14:textId="77777777" w:rsidR="00552124" w:rsidRDefault="00552124" w:rsidP="00552124">
      <w:pPr>
        <w:pStyle w:val="BodyText"/>
      </w:pPr>
      <w:r w:rsidRPr="00552124">
        <w:t>In 2015, a total of 11 focus groups were conducted with community members from Chinese, Vietnamese, Indian, Arabic-speaking, Iraqi, Greek and Sudanese backgrounds. Six focus groups were conducted with Aboriginal and Torres Strait Islander community members across urban and regional locations. Representatives from 26 peak bodies, philanthropic and volunteering organisations and business leaders took part in interviews and an online forum.</w:t>
      </w:r>
    </w:p>
    <w:p w14:paraId="221B6130" w14:textId="77777777" w:rsidR="00357D23" w:rsidRPr="00357D23" w:rsidRDefault="00357D23" w:rsidP="00357D23">
      <w:pPr>
        <w:pStyle w:val="BodyText"/>
      </w:pPr>
      <w:r w:rsidRPr="00357D23">
        <w:t>To date, the research has highlighted the critical importance of helping, giving and sharing in</w:t>
      </w:r>
      <w:r>
        <w:t xml:space="preserve"> </w:t>
      </w:r>
      <w:r w:rsidRPr="00357D23">
        <w:t>culturally and linguistically diverse and Indigenous communities, including the economic value of these contributions and the importance of volunteering as a pathway to employment and social connectedness.</w:t>
      </w:r>
    </w:p>
    <w:p w14:paraId="0F6C3386" w14:textId="77777777" w:rsidR="00357D23" w:rsidRDefault="00357D23" w:rsidP="00357D23">
      <w:pPr>
        <w:pStyle w:val="BodyText"/>
      </w:pPr>
      <w:r w:rsidRPr="006A1F99">
        <w:rPr>
          <w:i/>
        </w:rPr>
        <w:t>You learn a lot about yourself. You gain skills as well. It is</w:t>
      </w:r>
      <w:r w:rsidR="00B95DAF" w:rsidRPr="006A1F99">
        <w:rPr>
          <w:i/>
        </w:rPr>
        <w:t xml:space="preserve"> a great for networking </w:t>
      </w:r>
      <w:r w:rsidRPr="006A1F99">
        <w:rPr>
          <w:i/>
        </w:rPr>
        <w:t>and making friends and important for religious duty and spirituality. It makes me feel good about my own life.</w:t>
      </w:r>
      <w:r w:rsidRPr="00357D23">
        <w:t xml:space="preserve"> Focus group participant speaking about why volunteering is important</w:t>
      </w:r>
      <w:r>
        <w:t>.</w:t>
      </w:r>
    </w:p>
    <w:p w14:paraId="4501614A" w14:textId="77777777" w:rsidR="00357D23" w:rsidRPr="00357D23" w:rsidRDefault="00357D23" w:rsidP="00357D23">
      <w:pPr>
        <w:pStyle w:val="BodyText"/>
      </w:pPr>
      <w:r w:rsidRPr="00357D23">
        <w:t>Some key barriers to engagement include:</w:t>
      </w:r>
    </w:p>
    <w:p w14:paraId="60FE23E8" w14:textId="77777777" w:rsidR="00357D23" w:rsidRPr="00357D23" w:rsidRDefault="00357D23" w:rsidP="00357D23">
      <w:pPr>
        <w:pStyle w:val="ListBullet"/>
      </w:pPr>
      <w:r w:rsidRPr="00357D23">
        <w:t>a real or perceived lack of cultural awareness and/or inclusive practice among organisations involving volunteers</w:t>
      </w:r>
    </w:p>
    <w:p w14:paraId="10B454D3" w14:textId="77777777" w:rsidR="00357D23" w:rsidRPr="00357D23" w:rsidRDefault="00357D23" w:rsidP="00357D23">
      <w:pPr>
        <w:pStyle w:val="ListBullet"/>
      </w:pPr>
      <w:r w:rsidRPr="00357D23">
        <w:t>lack of English language skills among potential volunteers</w:t>
      </w:r>
    </w:p>
    <w:p w14:paraId="7126D873" w14:textId="77777777" w:rsidR="00357D23" w:rsidRPr="00357D23" w:rsidRDefault="00357D23" w:rsidP="00357D23">
      <w:pPr>
        <w:pStyle w:val="ListBullet"/>
      </w:pPr>
      <w:r w:rsidRPr="00357D23">
        <w:t xml:space="preserve">a feeling of being overburdened with existing community commitments </w:t>
      </w:r>
    </w:p>
    <w:p w14:paraId="7A4A9DA6" w14:textId="77777777" w:rsidR="00357D23" w:rsidRDefault="00357D23" w:rsidP="00357D23">
      <w:pPr>
        <w:pStyle w:val="ListBullet"/>
      </w:pPr>
      <w:proofErr w:type="gramStart"/>
      <w:r w:rsidRPr="00357D23">
        <w:t>lack</w:t>
      </w:r>
      <w:proofErr w:type="gramEnd"/>
      <w:r w:rsidRPr="00357D23">
        <w:t xml:space="preserve"> of transport and lack of remuneration for expenses.</w:t>
      </w:r>
    </w:p>
    <w:p w14:paraId="1B8EDC79" w14:textId="77777777" w:rsidR="00357D23" w:rsidRPr="00357D23" w:rsidRDefault="00357D23" w:rsidP="00837F53">
      <w:pPr>
        <w:pStyle w:val="BodyText"/>
      </w:pPr>
      <w:r w:rsidRPr="00357D23">
        <w:t xml:space="preserve">The research has started to uncover effective engagement approaches that include harnessing the cultural concepts of reciprocity, helping, sharing and enabling (which are common among many culturally and linguistically diverse and Indigenous communities) and partnering with communities to develop better volunteering opportunities. </w:t>
      </w:r>
    </w:p>
    <w:p w14:paraId="52ACC87A" w14:textId="77777777" w:rsidR="00357D23" w:rsidRDefault="00357D23" w:rsidP="00837F53">
      <w:pPr>
        <w:pStyle w:val="BodyText"/>
      </w:pPr>
      <w:r w:rsidRPr="00357D23">
        <w:t>The field work to further explore these issues will continue in 2016.</w:t>
      </w:r>
    </w:p>
    <w:p w14:paraId="4993C4D7" w14:textId="77777777" w:rsidR="006A1F99" w:rsidRDefault="006A1F99" w:rsidP="006A1F99">
      <w:pPr>
        <w:pStyle w:val="SubHeading"/>
      </w:pPr>
      <w:r>
        <w:t>17 focus groups with people from different community groups</w:t>
      </w:r>
    </w:p>
    <w:p w14:paraId="44F341C0" w14:textId="77777777" w:rsidR="006A1F99" w:rsidRDefault="006A1F99" w:rsidP="006A1F99">
      <w:pPr>
        <w:pStyle w:val="SubHeading"/>
      </w:pPr>
      <w:r>
        <w:t>26 interviews and an online forum with representatives from peak bodies, philanthropic and volunteering organisations, and business leaders</w:t>
      </w:r>
    </w:p>
    <w:p w14:paraId="432E2DD4" w14:textId="77777777" w:rsidR="00357D23" w:rsidRDefault="00357D23" w:rsidP="00357D23">
      <w:pPr>
        <w:pStyle w:val="Heading1"/>
      </w:pPr>
      <w:bookmarkStart w:id="5" w:name="_Toc447200372"/>
      <w:r w:rsidRPr="00357D23">
        <w:t>Giving Australia 2016</w:t>
      </w:r>
      <w:bookmarkEnd w:id="5"/>
    </w:p>
    <w:p w14:paraId="5DA0F801" w14:textId="77777777" w:rsidR="00357D23" w:rsidRPr="00357D23" w:rsidRDefault="00357D23" w:rsidP="00357D23">
      <w:pPr>
        <w:pStyle w:val="BodyText"/>
      </w:pPr>
      <w:r w:rsidRPr="00357D23">
        <w:t xml:space="preserve">The Giving Australia research project will collect comprehensive, up-to-date information from individuals, business and the not-for-profit sector on giving and volunteering behaviours, attitudes and trends. </w:t>
      </w:r>
    </w:p>
    <w:p w14:paraId="03571DFA" w14:textId="77777777" w:rsidR="00357D23" w:rsidRDefault="00357D23" w:rsidP="00357D23">
      <w:pPr>
        <w:pStyle w:val="BodyText"/>
      </w:pPr>
      <w:r w:rsidRPr="00357D23">
        <w:lastRenderedPageBreak/>
        <w:t>This data collection will refresh and expand on information gathered through the Giving Australia 2005 project. Giving Australia 2005, undertaken in 2004–2005, was commissioned as an initiative of the previous Prime Minister’s Community Business Partnership and remains the most comprehensive study of giving and volunteering in Australia.</w:t>
      </w:r>
    </w:p>
    <w:p w14:paraId="4025AA9B" w14:textId="77777777" w:rsidR="00357D23" w:rsidRPr="00357D23" w:rsidRDefault="00357D23" w:rsidP="00357D23">
      <w:pPr>
        <w:pStyle w:val="Italic"/>
      </w:pPr>
      <w:r w:rsidRPr="00357D23">
        <w:t>When countries undertake national studies of this kind—and many do—thousands of people are directly involved, major opinion leaders activated and a climate for change cultivated. Research breeds action.</w:t>
      </w:r>
    </w:p>
    <w:p w14:paraId="000ECB4A" w14:textId="77777777" w:rsidR="00357D23" w:rsidRPr="00357D23" w:rsidRDefault="00357D23" w:rsidP="00EB4E4C">
      <w:pPr>
        <w:pStyle w:val="BodyBold"/>
        <w:spacing w:after="0"/>
      </w:pPr>
      <w:r w:rsidRPr="00357D23">
        <w:t>Dr Wendy Scaife</w:t>
      </w:r>
    </w:p>
    <w:p w14:paraId="5299743A" w14:textId="77777777" w:rsidR="00357D23" w:rsidRDefault="00357D23" w:rsidP="00357D23">
      <w:pPr>
        <w:pStyle w:val="BodyText"/>
      </w:pPr>
      <w:r w:rsidRPr="00357D23">
        <w:t>Project Director, Giving Australia 2016</w:t>
      </w:r>
    </w:p>
    <w:p w14:paraId="640CC490" w14:textId="77777777" w:rsidR="00357D23" w:rsidRPr="00357D23" w:rsidRDefault="00357D23" w:rsidP="00357D23">
      <w:pPr>
        <w:pStyle w:val="BodyText"/>
      </w:pPr>
      <w:r w:rsidRPr="00357D23">
        <w:t xml:space="preserve">The Giving Australia research project is led by Queensland University of Technology’s Australian Centre for Philanthropy and Nonprofit Studies, in partnership with the Centre for Corporate Public Affairs and the Centre for Social Impact. </w:t>
      </w:r>
    </w:p>
    <w:p w14:paraId="58DDBA94" w14:textId="77777777" w:rsidR="00357D23" w:rsidRPr="00357D23" w:rsidRDefault="00357D23" w:rsidP="00357D23">
      <w:pPr>
        <w:pStyle w:val="BodyText"/>
      </w:pPr>
      <w:r w:rsidRPr="00357D23">
        <w:t>A Steering Committee comprising Partnership members Angela Perry, the Hon Dr Gary Johns and Colleen McGann, provides strategic direction for the project.</w:t>
      </w:r>
    </w:p>
    <w:p w14:paraId="4D4B99AE" w14:textId="77777777" w:rsidR="00357D23" w:rsidRPr="00357D23" w:rsidRDefault="00357D23" w:rsidP="00357D23">
      <w:pPr>
        <w:pStyle w:val="BodyText"/>
      </w:pPr>
      <w:r w:rsidRPr="00357D23">
        <w:t xml:space="preserve">Giving Australia will provide insights into the current state of giving and volunteering in Australia and includes: </w:t>
      </w:r>
    </w:p>
    <w:p w14:paraId="685380D9" w14:textId="77777777" w:rsidR="00357D23" w:rsidRPr="00357D23" w:rsidRDefault="00357D23" w:rsidP="00357D23">
      <w:pPr>
        <w:pStyle w:val="ListBullet"/>
      </w:pPr>
      <w:r w:rsidRPr="00357D23">
        <w:t xml:space="preserve">a literature review </w:t>
      </w:r>
    </w:p>
    <w:p w14:paraId="66830076" w14:textId="77777777" w:rsidR="00357D23" w:rsidRPr="00357D23" w:rsidRDefault="00357D23" w:rsidP="00357D23">
      <w:pPr>
        <w:pStyle w:val="ListBullet"/>
      </w:pPr>
      <w:r w:rsidRPr="00357D23">
        <w:t>telephone surveys of indiv</w:t>
      </w:r>
      <w:r>
        <w:t xml:space="preserve">iduals/households, businesses, </w:t>
      </w:r>
      <w:r w:rsidRPr="00357D23">
        <w:t>not-for-profit organisations and philanthropic foundations</w:t>
      </w:r>
    </w:p>
    <w:p w14:paraId="4AB5A3D4" w14:textId="77777777" w:rsidR="00357D23" w:rsidRPr="00357D23" w:rsidRDefault="00357D23" w:rsidP="00357D23">
      <w:pPr>
        <w:pStyle w:val="ListBullet"/>
      </w:pPr>
      <w:proofErr w:type="gramStart"/>
      <w:r w:rsidRPr="00357D23">
        <w:t>face-to-face</w:t>
      </w:r>
      <w:proofErr w:type="gramEnd"/>
      <w:r w:rsidRPr="00357D23">
        <w:t xml:space="preserve"> interviews and focus groups to inform survey questions and delve into the issues that arise from survey findings. </w:t>
      </w:r>
    </w:p>
    <w:p w14:paraId="355AEA9C" w14:textId="77777777" w:rsidR="00357D23" w:rsidRPr="00357D23" w:rsidRDefault="00357D23" w:rsidP="00357D23">
      <w:pPr>
        <w:pStyle w:val="BodyText"/>
      </w:pPr>
      <w:r w:rsidRPr="006A1F99">
        <w:rPr>
          <w:i/>
        </w:rPr>
        <w:t>A landmark collaborative project like Giving Australia affirms what a unique and significant part of our economy and our society giving represents. It identifies barriers, gaps and opportunities so giving can do more where most needed. The donated hour and dollar transform the giver, the organisation and Australia across every cause and location. It makes sense to have better information for the public, policy makers and the non-profit sector: this is what Giving Australia will achieve.</w:t>
      </w:r>
      <w:r w:rsidRPr="00357D23">
        <w:t xml:space="preserve"> Dr Wendy Scaife, Project Director, Giving Australia 2016</w:t>
      </w:r>
    </w:p>
    <w:p w14:paraId="7BE74067" w14:textId="77777777" w:rsidR="00357D23" w:rsidRPr="00357D23" w:rsidRDefault="00357D23" w:rsidP="00357D23">
      <w:pPr>
        <w:pStyle w:val="BodyText"/>
      </w:pPr>
      <w:r w:rsidRPr="00357D23">
        <w:t xml:space="preserve">To date, the literature review has revealed four central trends that will be explored in the interviews, surveys and focus groups. These are: </w:t>
      </w:r>
    </w:p>
    <w:p w14:paraId="719EB889" w14:textId="77777777" w:rsidR="00357D23" w:rsidRPr="00357D23" w:rsidRDefault="00357D23" w:rsidP="00357D23">
      <w:pPr>
        <w:pStyle w:val="ListBullet"/>
      </w:pPr>
      <w:r w:rsidRPr="00357D23">
        <w:t xml:space="preserve">giving is becoming less private, more social and more experiential on many levels—for example, giving collectives, workplace giving, crowdfunding and digital giving </w:t>
      </w:r>
    </w:p>
    <w:p w14:paraId="711A4931" w14:textId="77777777" w:rsidR="00357D23" w:rsidRDefault="00357D23" w:rsidP="00357D23">
      <w:pPr>
        <w:pStyle w:val="ListBullet"/>
      </w:pPr>
      <w:r w:rsidRPr="00357D23">
        <w:t>technology is changing donor engagement, and online</w:t>
      </w:r>
      <w:r>
        <w:t xml:space="preserve"> </w:t>
      </w:r>
      <w:r w:rsidRPr="00357D23">
        <w:t>volunteering and advocacy have emerged as new ways of supporting not-for-profit organisations and causes, unrestricted by geography or distance</w:t>
      </w:r>
    </w:p>
    <w:p w14:paraId="1876CC86" w14:textId="77777777" w:rsidR="00357D23" w:rsidRPr="00357D23" w:rsidRDefault="00357D23" w:rsidP="00357D23">
      <w:pPr>
        <w:pStyle w:val="ListBullet"/>
      </w:pPr>
      <w:r w:rsidRPr="00357D23">
        <w:t xml:space="preserve">definitions of giving and volunteering are expanding beyond traditional understandings and are becoming more inclusive, particularly of all ages and cultural backgrounds </w:t>
      </w:r>
    </w:p>
    <w:p w14:paraId="2090DD90" w14:textId="77777777" w:rsidR="00357D23" w:rsidRPr="00357D23" w:rsidRDefault="00357D23" w:rsidP="00357D23">
      <w:pPr>
        <w:pStyle w:val="ListBullet"/>
      </w:pPr>
      <w:proofErr w:type="gramStart"/>
      <w:r w:rsidRPr="00357D23">
        <w:t>the</w:t>
      </w:r>
      <w:proofErr w:type="gramEnd"/>
      <w:r w:rsidRPr="00357D23">
        <w:t xml:space="preserve"> boundaries between for-profit and for-purpose (focused on achieving a social objective) organisations are blurring, with the space between the two increasingly occupied by a complex array of organisation types. </w:t>
      </w:r>
    </w:p>
    <w:p w14:paraId="7090AF95" w14:textId="77777777" w:rsidR="00357D23" w:rsidRPr="00357D23" w:rsidRDefault="00357D23" w:rsidP="00357D23">
      <w:pPr>
        <w:pStyle w:val="BodyText"/>
      </w:pPr>
      <w:r w:rsidRPr="00357D23">
        <w:t xml:space="preserve">Initial focus groups also identified some common findings: </w:t>
      </w:r>
    </w:p>
    <w:p w14:paraId="79ACD1E6" w14:textId="77777777" w:rsidR="00357D23" w:rsidRPr="00357D23" w:rsidRDefault="00357D23" w:rsidP="00357D23">
      <w:pPr>
        <w:pStyle w:val="ListBullet"/>
      </w:pPr>
      <w:r w:rsidRPr="00357D23">
        <w:t>giving and volunteering is driven by donors’ individual and family life experiences, family values or culture and history of community involvement</w:t>
      </w:r>
    </w:p>
    <w:p w14:paraId="75FD5E9C" w14:textId="77777777" w:rsidR="00357D23" w:rsidRPr="00357D23" w:rsidRDefault="00357D23" w:rsidP="00357D23">
      <w:pPr>
        <w:pStyle w:val="ListBullet"/>
      </w:pPr>
      <w:r w:rsidRPr="00357D23">
        <w:t>giving is part of identity and creates a sense of belonging</w:t>
      </w:r>
    </w:p>
    <w:p w14:paraId="142382D5" w14:textId="77777777" w:rsidR="00357D23" w:rsidRPr="00357D23" w:rsidRDefault="00357D23" w:rsidP="00357D23">
      <w:pPr>
        <w:pStyle w:val="ListBullet"/>
      </w:pPr>
      <w:r w:rsidRPr="00357D23">
        <w:t xml:space="preserve">the use of websites, social media and other online media and technology for giving and fundraising are increasing the expectation of ‘instant’ availability of information </w:t>
      </w:r>
    </w:p>
    <w:p w14:paraId="315ED81B" w14:textId="77777777" w:rsidR="00357D23" w:rsidRPr="00357D23" w:rsidRDefault="00357D23" w:rsidP="00357D23">
      <w:pPr>
        <w:pStyle w:val="ListBullet"/>
      </w:pPr>
      <w:proofErr w:type="gramStart"/>
      <w:r w:rsidRPr="00357D23">
        <w:t>lack</w:t>
      </w:r>
      <w:proofErr w:type="gramEnd"/>
      <w:r w:rsidRPr="00357D23">
        <w:t xml:space="preserve"> of time is leading to less community involvement.</w:t>
      </w:r>
    </w:p>
    <w:p w14:paraId="1E955C87" w14:textId="77777777" w:rsidR="00357D23" w:rsidRPr="00357D23" w:rsidRDefault="00357D23" w:rsidP="00357D23">
      <w:pPr>
        <w:pStyle w:val="BodyText"/>
      </w:pPr>
      <w:r w:rsidRPr="00357D23">
        <w:t>Other concerns raised relate to:</w:t>
      </w:r>
    </w:p>
    <w:p w14:paraId="630B5CEA" w14:textId="77777777" w:rsidR="00357D23" w:rsidRPr="00357D23" w:rsidRDefault="00357D23" w:rsidP="00357D23">
      <w:pPr>
        <w:pStyle w:val="ListBullet"/>
      </w:pPr>
      <w:r w:rsidRPr="00357D23">
        <w:t xml:space="preserve">‘over-asking’ by charities </w:t>
      </w:r>
    </w:p>
    <w:p w14:paraId="45F86DDA" w14:textId="77777777" w:rsidR="00357D23" w:rsidRPr="00357D23" w:rsidRDefault="00357D23" w:rsidP="00357D23">
      <w:pPr>
        <w:pStyle w:val="ListBullet"/>
      </w:pPr>
      <w:r w:rsidRPr="00357D23">
        <w:t xml:space="preserve">red tape in relation to government regulation and monitoring </w:t>
      </w:r>
    </w:p>
    <w:p w14:paraId="669B0CCC" w14:textId="77777777" w:rsidR="00357D23" w:rsidRPr="00357D23" w:rsidRDefault="00357D23" w:rsidP="00357D23">
      <w:pPr>
        <w:pStyle w:val="ListBullet"/>
      </w:pPr>
      <w:proofErr w:type="gramStart"/>
      <w:r w:rsidRPr="00357D23">
        <w:lastRenderedPageBreak/>
        <w:t>a</w:t>
      </w:r>
      <w:proofErr w:type="gramEnd"/>
      <w:r w:rsidRPr="00357D23">
        <w:t xml:space="preserve"> lack of proactive professional advisers and consultants such as lawyers, accountants and fundraising experts. </w:t>
      </w:r>
    </w:p>
    <w:p w14:paraId="6546EEAF" w14:textId="77777777" w:rsidR="006A1F99" w:rsidRDefault="00357D23" w:rsidP="00357D23">
      <w:pPr>
        <w:pStyle w:val="BodyText"/>
      </w:pPr>
      <w:r w:rsidRPr="00357D23">
        <w:t>The Giving Australia research report is expected in late 2016.</w:t>
      </w:r>
    </w:p>
    <w:p w14:paraId="6D3FA416" w14:textId="77777777" w:rsidR="006A1F99" w:rsidRDefault="006A1F99" w:rsidP="0020054F">
      <w:pPr>
        <w:pStyle w:val="BodyText"/>
      </w:pPr>
      <w:r>
        <w:br w:type="page"/>
      </w:r>
    </w:p>
    <w:p w14:paraId="3D86CB24" w14:textId="77777777" w:rsidR="00357D23" w:rsidRDefault="00357D23" w:rsidP="00357D23">
      <w:pPr>
        <w:pStyle w:val="Heading1"/>
      </w:pPr>
      <w:bookmarkStart w:id="6" w:name="_Toc447200373"/>
      <w:r w:rsidRPr="00357D23">
        <w:lastRenderedPageBreak/>
        <w:t>Community collaboration</w:t>
      </w:r>
      <w:bookmarkEnd w:id="6"/>
    </w:p>
    <w:p w14:paraId="772BF453" w14:textId="77777777" w:rsidR="00357D23" w:rsidRDefault="00357D23" w:rsidP="00357D23">
      <w:pPr>
        <w:pStyle w:val="BodyText"/>
      </w:pPr>
      <w:r w:rsidRPr="00357D23">
        <w:t>Partnership members recognise the mutual benefits of collaboration between business and community organisations, and support initiatives to strengthen these types of partnerships.</w:t>
      </w:r>
    </w:p>
    <w:p w14:paraId="6C490298" w14:textId="77777777" w:rsidR="00357D23" w:rsidRPr="00357D23" w:rsidRDefault="00357D23" w:rsidP="00357D23">
      <w:pPr>
        <w:pStyle w:val="Italic"/>
      </w:pPr>
      <w:r w:rsidRPr="00357D23">
        <w:t xml:space="preserve">Philanthropy Australia believes that collaboration and working together are essential to delivering positive change in our communities. It’s really important to share ideas, approaches and learnings about how philanthropy can work with community organisations, and most importantly to celebrate these partnerships, and that’s why we are proud to be a part of this great initiative. </w:t>
      </w:r>
    </w:p>
    <w:p w14:paraId="47F57788" w14:textId="77777777" w:rsidR="00357D23" w:rsidRPr="00357D23" w:rsidRDefault="00357D23" w:rsidP="00EB4E4C">
      <w:pPr>
        <w:pStyle w:val="BodyBold"/>
        <w:keepNext/>
        <w:spacing w:after="0"/>
      </w:pPr>
      <w:r w:rsidRPr="00357D23">
        <w:t xml:space="preserve">Sarah Davies </w:t>
      </w:r>
    </w:p>
    <w:p w14:paraId="2EF76F0E" w14:textId="77777777" w:rsidR="00357D23" w:rsidRDefault="00357D23" w:rsidP="00357D23">
      <w:pPr>
        <w:pStyle w:val="BodyText"/>
      </w:pPr>
      <w:r w:rsidRPr="00357D23">
        <w:t>Chief Executive Officer, Philanthropy Australia</w:t>
      </w:r>
    </w:p>
    <w:p w14:paraId="656C2CF9" w14:textId="77777777" w:rsidR="00357D23" w:rsidRPr="00357D23" w:rsidRDefault="00357D23" w:rsidP="00357D23">
      <w:pPr>
        <w:pStyle w:val="Heading2"/>
      </w:pPr>
      <w:r w:rsidRPr="00357D23">
        <w:t xml:space="preserve">Community and Philanthropy Partnerships Week </w:t>
      </w:r>
    </w:p>
    <w:p w14:paraId="020631D7" w14:textId="77777777" w:rsidR="00357D23" w:rsidRPr="00357D23" w:rsidRDefault="00357D23" w:rsidP="00357D23">
      <w:pPr>
        <w:pStyle w:val="BodyText"/>
      </w:pPr>
      <w:r w:rsidRPr="00357D23">
        <w:t xml:space="preserve">The Community and Philanthropy Partnerships Week was held from 7–13 December 2015. This annual event celebrates and promotes philanthropy and collaborative partnerships across the business, not-for-profit and community sectors. In 2015, a total of 24 grant recipients were selected to showcase good practice examples of community and philanthropy partnerships. </w:t>
      </w:r>
    </w:p>
    <w:p w14:paraId="42B2AF5D" w14:textId="77777777" w:rsidR="00357D23" w:rsidRPr="00357D23" w:rsidRDefault="00357D23" w:rsidP="00357D23">
      <w:pPr>
        <w:pStyle w:val="Heading2"/>
      </w:pPr>
      <w:r w:rsidRPr="00357D23">
        <w:t xml:space="preserve">Australian Government Community Business Partnership awards </w:t>
      </w:r>
    </w:p>
    <w:p w14:paraId="5BFE6DB5" w14:textId="77777777" w:rsidR="00357D23" w:rsidRDefault="00357D23" w:rsidP="00357D23">
      <w:pPr>
        <w:pStyle w:val="BodyText"/>
      </w:pPr>
      <w:r w:rsidRPr="00357D23">
        <w:t>Through the Australian Government Community Business Partnership awards, Members of Parliament recognise collaborative partnerships achieving positive social outcomes in their local area, complementing the Community and Philanthropy Partnerships Week.</w:t>
      </w:r>
    </w:p>
    <w:p w14:paraId="4AC3B150" w14:textId="77777777" w:rsidR="00357D23" w:rsidRPr="00357D23" w:rsidRDefault="00357D23" w:rsidP="00357D23">
      <w:pPr>
        <w:pStyle w:val="Heading2"/>
      </w:pPr>
      <w:r w:rsidRPr="00357D23">
        <w:t xml:space="preserve">State of Volunteering in Australia survey </w:t>
      </w:r>
    </w:p>
    <w:p w14:paraId="50762DDE" w14:textId="77777777" w:rsidR="00357D23" w:rsidRPr="00357D23" w:rsidRDefault="00357D23" w:rsidP="00357D23">
      <w:pPr>
        <w:pStyle w:val="BodyText"/>
      </w:pPr>
      <w:r w:rsidRPr="00357D23">
        <w:t xml:space="preserve">In 2015 the Partnership supported the State of Volunteering in Australia survey and report. Survey findings will be announced at the April 2016 National Volunteering Conference. </w:t>
      </w:r>
    </w:p>
    <w:p w14:paraId="60CA7563" w14:textId="77777777" w:rsidR="00357D23" w:rsidRPr="00357D23" w:rsidRDefault="00357D23" w:rsidP="00357D23">
      <w:pPr>
        <w:pStyle w:val="Heading2"/>
      </w:pPr>
      <w:r w:rsidRPr="00357D23">
        <w:t>National Volunteering Conference</w:t>
      </w:r>
    </w:p>
    <w:p w14:paraId="52064BB4" w14:textId="77777777" w:rsidR="006A1F99" w:rsidRDefault="00357D23" w:rsidP="00357D23">
      <w:pPr>
        <w:pStyle w:val="BodyText"/>
      </w:pPr>
      <w:r w:rsidRPr="00357D23">
        <w:t>The Government has contributed to the April 2016 National Volunteering Conference, including subsidising attendance for volunteers. These biennial volunteering conferences provide a significant community benefit by allowing the volunteering sector to come together to network and progress critical issues in the sector. The conference will include presentations on research commissioned by the Partnership.</w:t>
      </w:r>
    </w:p>
    <w:p w14:paraId="56931214" w14:textId="77777777" w:rsidR="006A1F99" w:rsidRDefault="006A1F99" w:rsidP="006A1F99">
      <w:pPr>
        <w:pStyle w:val="CoverSubtitle"/>
      </w:pPr>
      <w:r>
        <w:br w:type="page"/>
      </w:r>
    </w:p>
    <w:p w14:paraId="6329735D" w14:textId="77777777" w:rsidR="00357D23" w:rsidRDefault="00357D23" w:rsidP="00357D23">
      <w:pPr>
        <w:pStyle w:val="Heading1"/>
      </w:pPr>
      <w:bookmarkStart w:id="7" w:name="_Toc447200374"/>
      <w:r w:rsidRPr="00357D23">
        <w:lastRenderedPageBreak/>
        <w:t>Engagement</w:t>
      </w:r>
      <w:bookmarkEnd w:id="7"/>
    </w:p>
    <w:p w14:paraId="483B986B" w14:textId="77777777" w:rsidR="00357D23" w:rsidRDefault="00357D23" w:rsidP="00357D23">
      <w:pPr>
        <w:pStyle w:val="BodyText"/>
      </w:pPr>
      <w:r w:rsidRPr="00357D23">
        <w:t>The involvement of philanthropists including individuals, private foundations and corporations, is critical in identifying innovative and sustainable solutions to a variety of issues over the longer-term. The Partnership will draw on the knowledge, experience and capacity of the broader community to identify innovative solutions.</w:t>
      </w:r>
    </w:p>
    <w:p w14:paraId="31530E59" w14:textId="77777777" w:rsidR="00357D23" w:rsidRPr="00357D23" w:rsidRDefault="00357D23" w:rsidP="00357D23">
      <w:pPr>
        <w:pStyle w:val="Italic"/>
      </w:pPr>
      <w:r w:rsidRPr="00357D23">
        <w:t xml:space="preserve">I am a great believer of collaboration. I think the Partnership is forcing a conversation across the whole sector and hopefully this will stimulate better collaboration among all of those people in the sector who are doing such wonderful work. </w:t>
      </w:r>
    </w:p>
    <w:p w14:paraId="5A5A3F20" w14:textId="77777777" w:rsidR="00357D23" w:rsidRPr="00357D23" w:rsidRDefault="00357D23" w:rsidP="00EB4E4C">
      <w:pPr>
        <w:pStyle w:val="BodyBold"/>
        <w:spacing w:after="0"/>
      </w:pPr>
      <w:r w:rsidRPr="00357D23">
        <w:t>Peter Scott</w:t>
      </w:r>
    </w:p>
    <w:p w14:paraId="5334A3D0" w14:textId="77777777" w:rsidR="00357D23" w:rsidRDefault="00357D23" w:rsidP="00357D23">
      <w:pPr>
        <w:pStyle w:val="BodyText"/>
      </w:pPr>
      <w:r w:rsidRPr="00357D23">
        <w:t>Partnership member</w:t>
      </w:r>
    </w:p>
    <w:p w14:paraId="257D3FB3" w14:textId="77777777" w:rsidR="00E331F4" w:rsidRPr="00E331F4" w:rsidRDefault="00E331F4" w:rsidP="00E331F4">
      <w:pPr>
        <w:pStyle w:val="Heading2"/>
      </w:pPr>
      <w:r w:rsidRPr="00E331F4">
        <w:t>Partnership engagement </w:t>
      </w:r>
    </w:p>
    <w:p w14:paraId="51018766" w14:textId="03A1DCC8" w:rsidR="00E331F4" w:rsidRPr="00E331F4" w:rsidRDefault="00E331F4" w:rsidP="00DE6218">
      <w:pPr>
        <w:pStyle w:val="BodyText"/>
      </w:pPr>
      <w:r w:rsidRPr="00E331F4">
        <w:t>To ensure the broadest possible range of voices contribute to the Partnership’s deliberations, Partnership members engaged with many expert individuals and organisations such as high-net-worth givers, philanthropic foundations, corporations, not-for-profit organisations including charities, academics and government agencies. Representatives from the organisations listed below had in-person, telephone or written engagement with Partnership members or Department of Social Services staff, shared ideas and proposals</w:t>
      </w:r>
      <w:r w:rsidR="00005976">
        <w:t xml:space="preserve"> </w:t>
      </w:r>
      <w:r w:rsidRPr="00E331F4">
        <w:t>and/or took part in roundtables or focus groups. </w:t>
      </w:r>
    </w:p>
    <w:p w14:paraId="42B437EF" w14:textId="77777777" w:rsidR="00E331F4" w:rsidRPr="00E331F4" w:rsidRDefault="00E331F4" w:rsidP="00E331F4">
      <w:pPr>
        <w:pStyle w:val="SubHeading"/>
      </w:pPr>
      <w:r w:rsidRPr="00E331F4">
        <w:t>Peak bodies and representative organisations:</w:t>
      </w:r>
    </w:p>
    <w:p w14:paraId="16D2AA89" w14:textId="77777777" w:rsidR="00E331F4" w:rsidRPr="00E331F4" w:rsidRDefault="00E331F4" w:rsidP="00E331F4">
      <w:pPr>
        <w:pStyle w:val="ListBullet"/>
      </w:pPr>
      <w:proofErr w:type="spellStart"/>
      <w:r w:rsidRPr="00E331F4">
        <w:t>Agforce</w:t>
      </w:r>
      <w:proofErr w:type="spellEnd"/>
    </w:p>
    <w:p w14:paraId="2AE51406" w14:textId="77777777" w:rsidR="00E331F4" w:rsidRPr="00E331F4" w:rsidRDefault="00E331F4" w:rsidP="00E331F4">
      <w:pPr>
        <w:pStyle w:val="ListBullet"/>
      </w:pPr>
      <w:r w:rsidRPr="00E331F4">
        <w:t>Australian Charities Fund </w:t>
      </w:r>
    </w:p>
    <w:p w14:paraId="313E043F" w14:textId="77777777" w:rsidR="00E331F4" w:rsidRPr="00E331F4" w:rsidRDefault="00E331F4" w:rsidP="00E331F4">
      <w:pPr>
        <w:pStyle w:val="ListBullet"/>
      </w:pPr>
      <w:r w:rsidRPr="00E331F4">
        <w:t>Australian Community Philanthropy</w:t>
      </w:r>
    </w:p>
    <w:p w14:paraId="3335A51A" w14:textId="77777777" w:rsidR="00E331F4" w:rsidRPr="00E331F4" w:rsidRDefault="00E331F4" w:rsidP="00E331F4">
      <w:pPr>
        <w:pStyle w:val="ListBullet"/>
      </w:pPr>
      <w:r w:rsidRPr="00E331F4">
        <w:t>Australia Council </w:t>
      </w:r>
    </w:p>
    <w:p w14:paraId="2C0BA379" w14:textId="77777777" w:rsidR="00E331F4" w:rsidRPr="00E331F4" w:rsidRDefault="00E331F4" w:rsidP="00E331F4">
      <w:pPr>
        <w:pStyle w:val="ListBullet"/>
      </w:pPr>
      <w:r w:rsidRPr="00E331F4">
        <w:t>Australian Council of Trade Unions </w:t>
      </w:r>
    </w:p>
    <w:p w14:paraId="558B284E" w14:textId="77777777" w:rsidR="00E331F4" w:rsidRPr="00E331F4" w:rsidRDefault="00E331F4" w:rsidP="00E331F4">
      <w:pPr>
        <w:pStyle w:val="ListBullet"/>
      </w:pPr>
      <w:r w:rsidRPr="00E331F4">
        <w:t>Australian Emergency Management Volunteer Forum</w:t>
      </w:r>
    </w:p>
    <w:p w14:paraId="56961FE3" w14:textId="77777777" w:rsidR="00E331F4" w:rsidRPr="00E331F4" w:rsidRDefault="00E331F4" w:rsidP="00E331F4">
      <w:pPr>
        <w:pStyle w:val="ListBullet"/>
      </w:pPr>
      <w:r w:rsidRPr="00E331F4">
        <w:t>Community Council for Australia</w:t>
      </w:r>
    </w:p>
    <w:p w14:paraId="5852225A" w14:textId="77777777" w:rsidR="00E331F4" w:rsidRPr="00E331F4" w:rsidRDefault="00E331F4" w:rsidP="00E331F4">
      <w:pPr>
        <w:pStyle w:val="ListBullet"/>
      </w:pPr>
      <w:r w:rsidRPr="00E331F4">
        <w:t>Conservation Volunteers Australia</w:t>
      </w:r>
    </w:p>
    <w:p w14:paraId="61FCBD32" w14:textId="77777777" w:rsidR="00E331F4" w:rsidRPr="00E331F4" w:rsidRDefault="00E331F4" w:rsidP="00E331F4">
      <w:pPr>
        <w:pStyle w:val="ListBullet"/>
      </w:pPr>
      <w:r w:rsidRPr="00E331F4">
        <w:t>Council on the Ageing (Queensland Branch)</w:t>
      </w:r>
    </w:p>
    <w:p w14:paraId="37F31396" w14:textId="77777777" w:rsidR="00E331F4" w:rsidRPr="00E331F4" w:rsidRDefault="00E331F4" w:rsidP="00E331F4">
      <w:pPr>
        <w:pStyle w:val="ListBullet"/>
      </w:pPr>
      <w:r w:rsidRPr="00E331F4">
        <w:t>Creative Partnerships Australia</w:t>
      </w:r>
    </w:p>
    <w:p w14:paraId="034334F7" w14:textId="77777777" w:rsidR="00E331F4" w:rsidRPr="00E331F4" w:rsidRDefault="00E331F4" w:rsidP="00E331F4">
      <w:pPr>
        <w:pStyle w:val="ListBullet"/>
      </w:pPr>
      <w:r w:rsidRPr="00E331F4">
        <w:t>Financial Services Council</w:t>
      </w:r>
    </w:p>
    <w:p w14:paraId="4453A88B" w14:textId="77777777" w:rsidR="00E331F4" w:rsidRPr="00E331F4" w:rsidRDefault="00E331F4" w:rsidP="00E331F4">
      <w:pPr>
        <w:pStyle w:val="ListBullet"/>
      </w:pPr>
      <w:r w:rsidRPr="00E331F4">
        <w:t>Fundraising Institute Australia</w:t>
      </w:r>
    </w:p>
    <w:p w14:paraId="5875BAE8" w14:textId="77777777" w:rsidR="00E331F4" w:rsidRPr="00E331F4" w:rsidRDefault="00E331F4" w:rsidP="00E331F4">
      <w:pPr>
        <w:pStyle w:val="ListBullet"/>
      </w:pPr>
      <w:r w:rsidRPr="00E331F4">
        <w:t>Impact Investing Australia</w:t>
      </w:r>
    </w:p>
    <w:p w14:paraId="37904207" w14:textId="77777777" w:rsidR="00E331F4" w:rsidRPr="00E331F4" w:rsidRDefault="00E331F4" w:rsidP="00E331F4">
      <w:pPr>
        <w:pStyle w:val="ListBullet"/>
      </w:pPr>
      <w:r w:rsidRPr="00E331F4">
        <w:t>International Association for Volunteer Effort</w:t>
      </w:r>
    </w:p>
    <w:p w14:paraId="3441E807" w14:textId="77777777" w:rsidR="00E331F4" w:rsidRPr="00E331F4" w:rsidRDefault="00E331F4" w:rsidP="00E331F4">
      <w:pPr>
        <w:pStyle w:val="ListBullet"/>
      </w:pPr>
      <w:r w:rsidRPr="00E331F4">
        <w:t>MS Queensland</w:t>
      </w:r>
    </w:p>
    <w:p w14:paraId="5F6F1415" w14:textId="77777777" w:rsidR="00E331F4" w:rsidRPr="00E331F4" w:rsidRDefault="00E331F4" w:rsidP="00E331F4">
      <w:pPr>
        <w:pStyle w:val="ListBullet"/>
      </w:pPr>
      <w:r w:rsidRPr="00E331F4">
        <w:t>Our Community</w:t>
      </w:r>
    </w:p>
    <w:p w14:paraId="436244AB" w14:textId="77777777" w:rsidR="00E331F4" w:rsidRPr="00E331F4" w:rsidRDefault="00E331F4" w:rsidP="00E331F4">
      <w:pPr>
        <w:pStyle w:val="ListBullet"/>
      </w:pPr>
      <w:r w:rsidRPr="00E331F4">
        <w:t>Philanthropy Australia</w:t>
      </w:r>
    </w:p>
    <w:p w14:paraId="2BF12233" w14:textId="77777777" w:rsidR="00E331F4" w:rsidRPr="00E331F4" w:rsidRDefault="00E331F4" w:rsidP="00E331F4">
      <w:pPr>
        <w:pStyle w:val="ListBullet"/>
      </w:pPr>
      <w:proofErr w:type="spellStart"/>
      <w:r w:rsidRPr="00E331F4">
        <w:t>ProBono</w:t>
      </w:r>
      <w:proofErr w:type="spellEnd"/>
      <w:r w:rsidRPr="00E331F4">
        <w:t xml:space="preserve"> Australia</w:t>
      </w:r>
    </w:p>
    <w:p w14:paraId="5CB9BC57" w14:textId="77777777" w:rsidR="00E331F4" w:rsidRPr="00E331F4" w:rsidRDefault="00E331F4" w:rsidP="00E331F4">
      <w:pPr>
        <w:pStyle w:val="ListBullet"/>
      </w:pPr>
      <w:r w:rsidRPr="00E331F4">
        <w:t>Queensland Council of Social Services</w:t>
      </w:r>
    </w:p>
    <w:p w14:paraId="5C7B5030" w14:textId="77777777" w:rsidR="00E331F4" w:rsidRPr="00E331F4" w:rsidRDefault="00E331F4" w:rsidP="00E331F4">
      <w:pPr>
        <w:pStyle w:val="ListBullet"/>
      </w:pPr>
      <w:r w:rsidRPr="00E331F4">
        <w:t>Social Traders </w:t>
      </w:r>
    </w:p>
    <w:p w14:paraId="01C02193" w14:textId="77777777" w:rsidR="00E331F4" w:rsidRPr="00E331F4" w:rsidRDefault="00E331F4" w:rsidP="00E331F4">
      <w:pPr>
        <w:pStyle w:val="ListBullet"/>
      </w:pPr>
      <w:r w:rsidRPr="00E331F4">
        <w:t>Social Ventures Australia</w:t>
      </w:r>
    </w:p>
    <w:p w14:paraId="42D4B99A" w14:textId="77777777" w:rsidR="00E331F4" w:rsidRPr="00E331F4" w:rsidRDefault="00E331F4" w:rsidP="00E331F4">
      <w:pPr>
        <w:pStyle w:val="ListBullet"/>
      </w:pPr>
      <w:r w:rsidRPr="00E331F4">
        <w:t>The Funding Network</w:t>
      </w:r>
    </w:p>
    <w:p w14:paraId="75E1216F" w14:textId="77777777" w:rsidR="00E331F4" w:rsidRPr="00E331F4" w:rsidRDefault="00E331F4" w:rsidP="00E331F4">
      <w:pPr>
        <w:pStyle w:val="ListBullet"/>
      </w:pPr>
      <w:r w:rsidRPr="00E331F4">
        <w:t>Volunteering Australia</w:t>
      </w:r>
    </w:p>
    <w:p w14:paraId="58CCA405" w14:textId="77777777" w:rsidR="00E331F4" w:rsidRPr="00E331F4" w:rsidRDefault="00E331F4" w:rsidP="00E331F4">
      <w:pPr>
        <w:pStyle w:val="BodyText"/>
      </w:pPr>
      <w:r w:rsidRPr="00E331F4">
        <w:rPr>
          <w:i/>
        </w:rPr>
        <w:t xml:space="preserve">Volunteering Australia certainly appreciates the opportunities to contribute to the Partnership’s important work, particularly in relation to building engaged and resilient communities through increased volunteering. It has been a </w:t>
      </w:r>
      <w:r w:rsidRPr="00E331F4">
        <w:rPr>
          <w:i/>
        </w:rPr>
        <w:lastRenderedPageBreak/>
        <w:t>pleasure to participate in the roundtables and be involved in the very significant research being undertaken. We look forward to continuing our constructive involvement</w:t>
      </w:r>
      <w:r w:rsidRPr="00E331F4">
        <w:t>. Brett Williamson OAM, </w:t>
      </w:r>
      <w:r w:rsidRPr="00E331F4">
        <w:br/>
        <w:t>Chief Executive Officer, Volunteering Australia</w:t>
      </w:r>
    </w:p>
    <w:p w14:paraId="3DBD4808" w14:textId="77777777" w:rsidR="00E331F4" w:rsidRPr="00E331F4" w:rsidRDefault="00E331F4" w:rsidP="00E331F4">
      <w:pPr>
        <w:pStyle w:val="SubHeading"/>
      </w:pPr>
      <w:r w:rsidRPr="00E331F4">
        <w:t>Corporate stakeholders and philanthropic financial and legal advisors and intermediaries:</w:t>
      </w:r>
    </w:p>
    <w:p w14:paraId="21812A2F" w14:textId="77777777" w:rsidR="00E331F4" w:rsidRPr="00E331F4" w:rsidRDefault="00E331F4" w:rsidP="00E331F4">
      <w:pPr>
        <w:pStyle w:val="ListBullet"/>
      </w:pPr>
      <w:r w:rsidRPr="00E331F4">
        <w:t>AET Limited</w:t>
      </w:r>
    </w:p>
    <w:p w14:paraId="733C074A" w14:textId="77777777" w:rsidR="00E331F4" w:rsidRPr="00E331F4" w:rsidRDefault="00E331F4" w:rsidP="00E331F4">
      <w:pPr>
        <w:pStyle w:val="ListBullet"/>
      </w:pPr>
      <w:proofErr w:type="spellStart"/>
      <w:r w:rsidRPr="00E331F4">
        <w:t>Atlassian</w:t>
      </w:r>
      <w:proofErr w:type="spellEnd"/>
      <w:r w:rsidRPr="00E331F4">
        <w:t> </w:t>
      </w:r>
    </w:p>
    <w:p w14:paraId="60F0A741" w14:textId="77777777" w:rsidR="00E331F4" w:rsidRPr="00E331F4" w:rsidRDefault="00E331F4" w:rsidP="00E331F4">
      <w:pPr>
        <w:pStyle w:val="ListBullet"/>
      </w:pPr>
      <w:r w:rsidRPr="00E331F4">
        <w:t>Australian Philanthropic Services </w:t>
      </w:r>
    </w:p>
    <w:p w14:paraId="0B4D4EBE" w14:textId="77777777" w:rsidR="00E331F4" w:rsidRPr="00E331F4" w:rsidRDefault="00E331F4" w:rsidP="00E331F4">
      <w:pPr>
        <w:pStyle w:val="ListBullet"/>
      </w:pPr>
      <w:proofErr w:type="spellStart"/>
      <w:r w:rsidRPr="00E331F4">
        <w:t>CommBank</w:t>
      </w:r>
      <w:proofErr w:type="spellEnd"/>
      <w:r w:rsidRPr="00E331F4">
        <w:t> </w:t>
      </w:r>
    </w:p>
    <w:p w14:paraId="2FD2989B" w14:textId="77777777" w:rsidR="00E331F4" w:rsidRPr="00E331F4" w:rsidRDefault="00E331F4" w:rsidP="00E331F4">
      <w:pPr>
        <w:pStyle w:val="ListBullet"/>
      </w:pPr>
      <w:r w:rsidRPr="00E331F4">
        <w:t>Deloitte Australia </w:t>
      </w:r>
    </w:p>
    <w:p w14:paraId="3D353405" w14:textId="77777777" w:rsidR="00E331F4" w:rsidRPr="00E331F4" w:rsidRDefault="00E331F4" w:rsidP="00E331F4">
      <w:pPr>
        <w:pStyle w:val="ListBullet"/>
      </w:pPr>
      <w:proofErr w:type="spellStart"/>
      <w:r w:rsidRPr="00E331F4">
        <w:t>Ethinvest</w:t>
      </w:r>
      <w:proofErr w:type="spellEnd"/>
      <w:r w:rsidRPr="00E331F4">
        <w:t xml:space="preserve"> &amp; </w:t>
      </w:r>
      <w:proofErr w:type="spellStart"/>
      <w:r w:rsidRPr="00E331F4">
        <w:t>Unitus</w:t>
      </w:r>
      <w:proofErr w:type="spellEnd"/>
      <w:r w:rsidRPr="00E331F4">
        <w:t xml:space="preserve"> Capital </w:t>
      </w:r>
    </w:p>
    <w:p w14:paraId="3D19891F" w14:textId="77777777" w:rsidR="00E331F4" w:rsidRPr="00E331F4" w:rsidRDefault="00E331F4" w:rsidP="00E331F4">
      <w:pPr>
        <w:pStyle w:val="ListBullet"/>
      </w:pPr>
      <w:r w:rsidRPr="00E331F4">
        <w:t>Evans and Partners </w:t>
      </w:r>
    </w:p>
    <w:p w14:paraId="17AE33EB" w14:textId="77777777" w:rsidR="00E331F4" w:rsidRPr="00E331F4" w:rsidRDefault="00E331F4" w:rsidP="00E331F4">
      <w:pPr>
        <w:pStyle w:val="ListBullet"/>
      </w:pPr>
      <w:r w:rsidRPr="00E331F4">
        <w:t>Global Wealth, ANZ </w:t>
      </w:r>
    </w:p>
    <w:p w14:paraId="110A870E" w14:textId="77777777" w:rsidR="00E331F4" w:rsidRPr="00E331F4" w:rsidRDefault="00E331F4" w:rsidP="00E331F4">
      <w:pPr>
        <w:pStyle w:val="ListBullet"/>
      </w:pPr>
      <w:r w:rsidRPr="00E331F4">
        <w:t>Herbert Smith Freehills</w:t>
      </w:r>
    </w:p>
    <w:p w14:paraId="5BEBDEE7" w14:textId="77777777" w:rsidR="00E331F4" w:rsidRPr="00E331F4" w:rsidRDefault="00E331F4" w:rsidP="00E331F4">
      <w:pPr>
        <w:pStyle w:val="ListBullet"/>
      </w:pPr>
      <w:r w:rsidRPr="00E331F4">
        <w:t>Investec Australia</w:t>
      </w:r>
    </w:p>
    <w:p w14:paraId="02D33451" w14:textId="77777777" w:rsidR="00E331F4" w:rsidRPr="00E331F4" w:rsidRDefault="00E331F4" w:rsidP="00E331F4">
      <w:pPr>
        <w:pStyle w:val="ListBullet"/>
      </w:pPr>
      <w:proofErr w:type="spellStart"/>
      <w:r w:rsidRPr="00E331F4">
        <w:t>JBWere</w:t>
      </w:r>
      <w:proofErr w:type="spellEnd"/>
    </w:p>
    <w:p w14:paraId="7B8AA638" w14:textId="77777777" w:rsidR="00E331F4" w:rsidRPr="00E331F4" w:rsidRDefault="00E331F4" w:rsidP="00E331F4">
      <w:pPr>
        <w:pStyle w:val="ListBullet"/>
      </w:pPr>
      <w:proofErr w:type="spellStart"/>
      <w:r w:rsidRPr="00E331F4">
        <w:t>Koda</w:t>
      </w:r>
      <w:proofErr w:type="spellEnd"/>
      <w:r w:rsidRPr="00E331F4">
        <w:t xml:space="preserve"> Capital</w:t>
      </w:r>
    </w:p>
    <w:p w14:paraId="1117A54A" w14:textId="77777777" w:rsidR="00E331F4" w:rsidRPr="00E331F4" w:rsidRDefault="00E331F4" w:rsidP="00E331F4">
      <w:pPr>
        <w:pStyle w:val="ListBullet"/>
      </w:pPr>
      <w:r w:rsidRPr="00E331F4">
        <w:t>Morgan Stanley Wealth Management Australia</w:t>
      </w:r>
    </w:p>
    <w:p w14:paraId="532CC480" w14:textId="77777777" w:rsidR="00E331F4" w:rsidRPr="00E331F4" w:rsidRDefault="00E331F4" w:rsidP="00E331F4">
      <w:pPr>
        <w:pStyle w:val="ListBullet"/>
      </w:pPr>
      <w:r w:rsidRPr="00E331F4">
        <w:t>MYOB</w:t>
      </w:r>
    </w:p>
    <w:p w14:paraId="777B3A50" w14:textId="77777777" w:rsidR="00E331F4" w:rsidRPr="00E331F4" w:rsidRDefault="00E331F4" w:rsidP="00E331F4">
      <w:pPr>
        <w:pStyle w:val="ListBullet"/>
      </w:pPr>
      <w:r w:rsidRPr="00E331F4">
        <w:t>National Australia Bank</w:t>
      </w:r>
    </w:p>
    <w:p w14:paraId="4D790AC5" w14:textId="77777777" w:rsidR="00E331F4" w:rsidRPr="00E331F4" w:rsidRDefault="00E331F4" w:rsidP="00E331F4">
      <w:pPr>
        <w:pStyle w:val="ListBullet"/>
      </w:pPr>
      <w:r w:rsidRPr="00E331F4">
        <w:t xml:space="preserve">Ord </w:t>
      </w:r>
      <w:proofErr w:type="spellStart"/>
      <w:r w:rsidRPr="00E331F4">
        <w:t>Minnett</w:t>
      </w:r>
      <w:proofErr w:type="spellEnd"/>
      <w:r w:rsidRPr="00E331F4">
        <w:t> </w:t>
      </w:r>
    </w:p>
    <w:p w14:paraId="379EFD36" w14:textId="77777777" w:rsidR="00E331F4" w:rsidRPr="00E331F4" w:rsidRDefault="00E331F4" w:rsidP="00E331F4">
      <w:pPr>
        <w:pStyle w:val="ListBullet"/>
      </w:pPr>
      <w:r w:rsidRPr="00E331F4">
        <w:t>Perpetual Ltd </w:t>
      </w:r>
    </w:p>
    <w:p w14:paraId="6964CBB1" w14:textId="77777777" w:rsidR="00E331F4" w:rsidRPr="00E331F4" w:rsidRDefault="00E331F4" w:rsidP="00E331F4">
      <w:pPr>
        <w:pStyle w:val="ListBullet"/>
      </w:pPr>
      <w:r w:rsidRPr="00E331F4">
        <w:t>Philanthropic Advisory</w:t>
      </w:r>
    </w:p>
    <w:p w14:paraId="5AE745A7" w14:textId="77777777" w:rsidR="00E331F4" w:rsidRPr="00E331F4" w:rsidRDefault="00E331F4" w:rsidP="00E331F4">
      <w:pPr>
        <w:pStyle w:val="ListBullet"/>
      </w:pPr>
      <w:r w:rsidRPr="00E331F4">
        <w:t>PwC</w:t>
      </w:r>
    </w:p>
    <w:p w14:paraId="7567F746" w14:textId="77777777" w:rsidR="00E331F4" w:rsidRPr="00E331F4" w:rsidRDefault="00E331F4" w:rsidP="00E331F4">
      <w:pPr>
        <w:pStyle w:val="ListBullet"/>
      </w:pPr>
      <w:r w:rsidRPr="00E331F4">
        <w:t>Strategic Grants and Women and Change</w:t>
      </w:r>
    </w:p>
    <w:p w14:paraId="30862FF1" w14:textId="77777777" w:rsidR="00E331F4" w:rsidRPr="00E331F4" w:rsidRDefault="00E331F4" w:rsidP="00E331F4">
      <w:pPr>
        <w:pStyle w:val="SubHeading"/>
      </w:pPr>
      <w:r w:rsidRPr="00E331F4">
        <w:t>Giving platform organisations:</w:t>
      </w:r>
    </w:p>
    <w:p w14:paraId="26E9FF9A" w14:textId="77777777" w:rsidR="00E331F4" w:rsidRPr="00E331F4" w:rsidRDefault="00E331F4" w:rsidP="00E331F4">
      <w:pPr>
        <w:pStyle w:val="ListBullet"/>
      </w:pPr>
      <w:r w:rsidRPr="00E331F4">
        <w:t>Capital Exchange Australia </w:t>
      </w:r>
    </w:p>
    <w:p w14:paraId="79FF829F" w14:textId="77777777" w:rsidR="00E331F4" w:rsidRPr="00E331F4" w:rsidRDefault="00E331F4" w:rsidP="00E331F4">
      <w:pPr>
        <w:pStyle w:val="ListBullet"/>
      </w:pPr>
      <w:r w:rsidRPr="00E331F4">
        <w:t>Charities Aid Foundation (Good2Give)</w:t>
      </w:r>
    </w:p>
    <w:p w14:paraId="5A42F922" w14:textId="77777777" w:rsidR="00E331F4" w:rsidRPr="00E331F4" w:rsidRDefault="00E331F4" w:rsidP="00E331F4">
      <w:pPr>
        <w:pStyle w:val="ListBullet"/>
      </w:pPr>
      <w:proofErr w:type="spellStart"/>
      <w:r w:rsidRPr="00E331F4">
        <w:t>ClearlySo</w:t>
      </w:r>
      <w:proofErr w:type="spellEnd"/>
      <w:r w:rsidRPr="00E331F4">
        <w:t> </w:t>
      </w:r>
    </w:p>
    <w:p w14:paraId="565C726E" w14:textId="77777777" w:rsidR="00E331F4" w:rsidRPr="00E331F4" w:rsidRDefault="00E331F4" w:rsidP="00E331F4">
      <w:pPr>
        <w:pStyle w:val="ListBullet"/>
      </w:pPr>
      <w:r w:rsidRPr="00E331F4">
        <w:t>Connecting Up</w:t>
      </w:r>
    </w:p>
    <w:p w14:paraId="339EC113" w14:textId="77777777" w:rsidR="00E331F4" w:rsidRPr="00E331F4" w:rsidRDefault="00E331F4" w:rsidP="00E331F4">
      <w:pPr>
        <w:pStyle w:val="ListBullet"/>
      </w:pPr>
      <w:r w:rsidRPr="00E331F4">
        <w:t>Donate Planet</w:t>
      </w:r>
    </w:p>
    <w:p w14:paraId="6C61CAF2" w14:textId="77777777" w:rsidR="00E331F4" w:rsidRPr="00E331F4" w:rsidRDefault="00E331F4" w:rsidP="00E331F4">
      <w:pPr>
        <w:pStyle w:val="ListBullet"/>
      </w:pPr>
      <w:r w:rsidRPr="00E331F4">
        <w:t>Everyday Hero</w:t>
      </w:r>
    </w:p>
    <w:p w14:paraId="7EB385F8" w14:textId="77777777" w:rsidR="00E331F4" w:rsidRPr="00E331F4" w:rsidRDefault="00E331F4" w:rsidP="00E331F4">
      <w:pPr>
        <w:pStyle w:val="ListBullet"/>
      </w:pPr>
      <w:r w:rsidRPr="00E331F4">
        <w:t>GIVIT</w:t>
      </w:r>
    </w:p>
    <w:p w14:paraId="48277633" w14:textId="77777777" w:rsidR="00E331F4" w:rsidRPr="00E331F4" w:rsidRDefault="00E331F4" w:rsidP="00E331F4">
      <w:pPr>
        <w:pStyle w:val="ListBullet"/>
      </w:pPr>
      <w:r w:rsidRPr="00E331F4">
        <w:t>Good360</w:t>
      </w:r>
    </w:p>
    <w:p w14:paraId="2CEE6D27" w14:textId="77777777" w:rsidR="00E331F4" w:rsidRPr="00E331F4" w:rsidRDefault="00E331F4" w:rsidP="00E331F4">
      <w:pPr>
        <w:pStyle w:val="ListBullet"/>
      </w:pPr>
      <w:r w:rsidRPr="00E331F4">
        <w:t>Good Mob</w:t>
      </w:r>
    </w:p>
    <w:p w14:paraId="51DE36DA" w14:textId="77777777" w:rsidR="00E331F4" w:rsidRPr="00E331F4" w:rsidRDefault="00E331F4" w:rsidP="00E331F4">
      <w:pPr>
        <w:pStyle w:val="ListBullet"/>
      </w:pPr>
      <w:proofErr w:type="spellStart"/>
      <w:r w:rsidRPr="00E331F4">
        <w:t>Goodcompany</w:t>
      </w:r>
      <w:proofErr w:type="spellEnd"/>
      <w:r w:rsidRPr="00E331F4">
        <w:t> </w:t>
      </w:r>
    </w:p>
    <w:p w14:paraId="54EB2030" w14:textId="77777777" w:rsidR="00E331F4" w:rsidRPr="00E331F4" w:rsidRDefault="00E331F4" w:rsidP="00E331F4">
      <w:pPr>
        <w:pStyle w:val="ListBullet"/>
      </w:pPr>
      <w:proofErr w:type="spellStart"/>
      <w:r w:rsidRPr="00E331F4">
        <w:t>Infoxchange</w:t>
      </w:r>
      <w:proofErr w:type="spellEnd"/>
    </w:p>
    <w:p w14:paraId="5B3EA6DB" w14:textId="77777777" w:rsidR="00E331F4" w:rsidRPr="00E331F4" w:rsidRDefault="00E331F4" w:rsidP="00E331F4">
      <w:pPr>
        <w:pStyle w:val="ListBullet"/>
      </w:pPr>
      <w:r w:rsidRPr="00E331F4">
        <w:t>Our Community</w:t>
      </w:r>
    </w:p>
    <w:p w14:paraId="0D93FC19" w14:textId="77777777" w:rsidR="00E331F4" w:rsidRPr="00E331F4" w:rsidRDefault="00E331F4" w:rsidP="00E331F4">
      <w:pPr>
        <w:pStyle w:val="ListBullet"/>
      </w:pPr>
      <w:proofErr w:type="spellStart"/>
      <w:r w:rsidRPr="00E331F4">
        <w:t>Pozible</w:t>
      </w:r>
      <w:proofErr w:type="spellEnd"/>
    </w:p>
    <w:p w14:paraId="013B0B13" w14:textId="77777777" w:rsidR="00E331F4" w:rsidRPr="00E331F4" w:rsidRDefault="00E331F4" w:rsidP="00E331F4">
      <w:pPr>
        <w:pStyle w:val="ListBullet"/>
      </w:pPr>
      <w:proofErr w:type="spellStart"/>
      <w:r w:rsidRPr="00E331F4">
        <w:lastRenderedPageBreak/>
        <w:t>StartSomeGood</w:t>
      </w:r>
      <w:proofErr w:type="spellEnd"/>
    </w:p>
    <w:p w14:paraId="51249006" w14:textId="77777777" w:rsidR="00E331F4" w:rsidRPr="00E331F4" w:rsidRDefault="00E331F4" w:rsidP="00E331F4">
      <w:pPr>
        <w:pStyle w:val="SubHeading"/>
      </w:pPr>
      <w:r w:rsidRPr="00E331F4">
        <w:t>Philanthropic foundations and trusts:</w:t>
      </w:r>
    </w:p>
    <w:p w14:paraId="02B611E6" w14:textId="77777777" w:rsidR="00E331F4" w:rsidRPr="00E331F4" w:rsidRDefault="00E331F4" w:rsidP="00E331F4">
      <w:pPr>
        <w:pStyle w:val="ListBullet"/>
      </w:pPr>
      <w:r w:rsidRPr="00E331F4">
        <w:t>AEIOU Foundation</w:t>
      </w:r>
    </w:p>
    <w:p w14:paraId="1DD949B9" w14:textId="77777777" w:rsidR="00E331F4" w:rsidRPr="00E331F4" w:rsidRDefault="00E331F4" w:rsidP="00E331F4">
      <w:pPr>
        <w:pStyle w:val="ListBullet"/>
      </w:pPr>
      <w:r w:rsidRPr="00E331F4">
        <w:t>Australian Communities Foundation </w:t>
      </w:r>
    </w:p>
    <w:p w14:paraId="33EDF548" w14:textId="77777777" w:rsidR="00E331F4" w:rsidRPr="00E331F4" w:rsidRDefault="00E331F4" w:rsidP="00E331F4">
      <w:pPr>
        <w:pStyle w:val="ListBullet"/>
      </w:pPr>
      <w:r w:rsidRPr="00E331F4">
        <w:t>Chain Reaction Foundation Ltd </w:t>
      </w:r>
    </w:p>
    <w:p w14:paraId="4AE7A90B" w14:textId="77777777" w:rsidR="00E331F4" w:rsidRPr="00E331F4" w:rsidRDefault="00E331F4" w:rsidP="00E331F4">
      <w:pPr>
        <w:pStyle w:val="ListBullet"/>
      </w:pPr>
      <w:r w:rsidRPr="00E331F4">
        <w:t>Children’s Health Foundation</w:t>
      </w:r>
    </w:p>
    <w:p w14:paraId="344CD553" w14:textId="77777777" w:rsidR="00E331F4" w:rsidRPr="00E331F4" w:rsidRDefault="00E331F4" w:rsidP="00E331F4">
      <w:pPr>
        <w:pStyle w:val="ListBullet"/>
      </w:pPr>
      <w:r w:rsidRPr="00E331F4">
        <w:t xml:space="preserve">Clayton </w:t>
      </w:r>
      <w:proofErr w:type="spellStart"/>
      <w:r w:rsidRPr="00E331F4">
        <w:t>Utz</w:t>
      </w:r>
      <w:proofErr w:type="spellEnd"/>
      <w:r w:rsidRPr="00E331F4">
        <w:t xml:space="preserve"> Foundation </w:t>
      </w:r>
    </w:p>
    <w:p w14:paraId="02A0B230" w14:textId="77777777" w:rsidR="00E331F4" w:rsidRPr="00E331F4" w:rsidRDefault="00E331F4" w:rsidP="00E331F4">
      <w:pPr>
        <w:pStyle w:val="ListBullet"/>
      </w:pPr>
      <w:r w:rsidRPr="00E331F4">
        <w:t>Endeavour Foundation</w:t>
      </w:r>
    </w:p>
    <w:p w14:paraId="69E09787" w14:textId="77777777" w:rsidR="00E331F4" w:rsidRPr="00E331F4" w:rsidRDefault="00E331F4" w:rsidP="00E331F4">
      <w:pPr>
        <w:pStyle w:val="ListBullet"/>
      </w:pPr>
      <w:r w:rsidRPr="00E331F4">
        <w:t>Equity Trustees </w:t>
      </w:r>
    </w:p>
    <w:p w14:paraId="682209CF" w14:textId="77777777" w:rsidR="00E331F4" w:rsidRPr="00E331F4" w:rsidRDefault="00E331F4" w:rsidP="00E331F4">
      <w:pPr>
        <w:pStyle w:val="ListBullet"/>
      </w:pPr>
      <w:r w:rsidRPr="00E331F4">
        <w:t>Fielding Foundation </w:t>
      </w:r>
    </w:p>
    <w:p w14:paraId="7CDF2D07" w14:textId="77777777" w:rsidR="00E331F4" w:rsidRPr="00E331F4" w:rsidRDefault="00E331F4" w:rsidP="00E331F4">
      <w:pPr>
        <w:pStyle w:val="ListBullet"/>
      </w:pPr>
      <w:proofErr w:type="spellStart"/>
      <w:r w:rsidRPr="00E331F4">
        <w:t>Gandel</w:t>
      </w:r>
      <w:proofErr w:type="spellEnd"/>
      <w:r w:rsidRPr="00E331F4">
        <w:t xml:space="preserve"> Philanthropy </w:t>
      </w:r>
    </w:p>
    <w:p w14:paraId="18CF55CA" w14:textId="77777777" w:rsidR="00E331F4" w:rsidRPr="00E331F4" w:rsidRDefault="00E331F4" w:rsidP="00E331F4">
      <w:pPr>
        <w:pStyle w:val="ListBullet"/>
      </w:pPr>
      <w:r w:rsidRPr="00E331F4">
        <w:t>Impact100 WA </w:t>
      </w:r>
    </w:p>
    <w:p w14:paraId="651ADDC1" w14:textId="77777777" w:rsidR="00E331F4" w:rsidRPr="00E331F4" w:rsidRDefault="00E331F4" w:rsidP="00E331F4">
      <w:pPr>
        <w:pStyle w:val="ListBullet"/>
      </w:pPr>
      <w:r w:rsidRPr="00E331F4">
        <w:t>Karma Currency Foundation </w:t>
      </w:r>
    </w:p>
    <w:p w14:paraId="52BA17DE" w14:textId="77777777" w:rsidR="00E331F4" w:rsidRPr="00E331F4" w:rsidRDefault="00E331F4" w:rsidP="00E331F4">
      <w:pPr>
        <w:pStyle w:val="ListBullet"/>
      </w:pPr>
      <w:r w:rsidRPr="00E331F4">
        <w:t>Lord Mayor’s Charitable Foundation</w:t>
      </w:r>
    </w:p>
    <w:p w14:paraId="483288EC" w14:textId="77777777" w:rsidR="00E331F4" w:rsidRPr="00E331F4" w:rsidRDefault="00E331F4" w:rsidP="00E331F4">
      <w:pPr>
        <w:pStyle w:val="ListBullet"/>
      </w:pPr>
      <w:r w:rsidRPr="00E331F4">
        <w:t>Mater Foundation</w:t>
      </w:r>
    </w:p>
    <w:p w14:paraId="55BBA771" w14:textId="77777777" w:rsidR="00E331F4" w:rsidRPr="00E331F4" w:rsidRDefault="00E331F4" w:rsidP="00E331F4">
      <w:pPr>
        <w:pStyle w:val="ListBullet"/>
      </w:pPr>
      <w:r w:rsidRPr="00E331F4">
        <w:t>McKinnon Foundation</w:t>
      </w:r>
    </w:p>
    <w:p w14:paraId="1B136E7F" w14:textId="77777777" w:rsidR="00E331F4" w:rsidRPr="00E331F4" w:rsidRDefault="00E331F4" w:rsidP="00E331F4">
      <w:pPr>
        <w:pStyle w:val="ListBullet"/>
      </w:pPr>
      <w:r w:rsidRPr="00E331F4">
        <w:t>McLeod Family Foundation</w:t>
      </w:r>
    </w:p>
    <w:p w14:paraId="5382CCD0" w14:textId="77777777" w:rsidR="00E331F4" w:rsidRPr="00E331F4" w:rsidRDefault="00E331F4" w:rsidP="00E331F4">
      <w:pPr>
        <w:pStyle w:val="ListBullet"/>
      </w:pPr>
      <w:r w:rsidRPr="00E331F4">
        <w:t>Next Generation Philanthropy Australia</w:t>
      </w:r>
    </w:p>
    <w:p w14:paraId="5BF816C3" w14:textId="77777777" w:rsidR="00E331F4" w:rsidRPr="00E331F4" w:rsidRDefault="00E331F4" w:rsidP="00E331F4">
      <w:pPr>
        <w:pStyle w:val="ListBullet"/>
      </w:pPr>
      <w:r w:rsidRPr="00E331F4">
        <w:t>Origin Foundation </w:t>
      </w:r>
    </w:p>
    <w:p w14:paraId="578E1074" w14:textId="77777777" w:rsidR="00E331F4" w:rsidRPr="00E331F4" w:rsidRDefault="00E331F4" w:rsidP="00E331F4">
      <w:pPr>
        <w:pStyle w:val="ListBullet"/>
      </w:pPr>
      <w:r w:rsidRPr="00E331F4">
        <w:t>PA Research Foundation</w:t>
      </w:r>
    </w:p>
    <w:p w14:paraId="001A1546" w14:textId="77777777" w:rsidR="00E331F4" w:rsidRPr="00E331F4" w:rsidRDefault="00E331F4" w:rsidP="00E331F4">
      <w:pPr>
        <w:pStyle w:val="ListBullet"/>
      </w:pPr>
      <w:r w:rsidRPr="00E331F4">
        <w:t>Pathways to Resilience Trust</w:t>
      </w:r>
    </w:p>
    <w:p w14:paraId="03AEDDD3" w14:textId="77777777" w:rsidR="00E331F4" w:rsidRPr="00E331F4" w:rsidRDefault="00E331F4" w:rsidP="00E331F4">
      <w:pPr>
        <w:pStyle w:val="ListBullet"/>
      </w:pPr>
      <w:r w:rsidRPr="00E331F4">
        <w:t xml:space="preserve">Peter </w:t>
      </w:r>
      <w:proofErr w:type="spellStart"/>
      <w:r w:rsidRPr="00E331F4">
        <w:t>MacCallum</w:t>
      </w:r>
      <w:proofErr w:type="spellEnd"/>
      <w:r w:rsidRPr="00E331F4">
        <w:t xml:space="preserve"> Cancer Foundation</w:t>
      </w:r>
    </w:p>
    <w:p w14:paraId="66808E64" w14:textId="77777777" w:rsidR="00E331F4" w:rsidRPr="00E331F4" w:rsidRDefault="00E331F4" w:rsidP="00E331F4">
      <w:pPr>
        <w:pStyle w:val="ListBullet"/>
      </w:pPr>
      <w:r w:rsidRPr="00E331F4">
        <w:t>Planet Wheeler/Cubit Foundation</w:t>
      </w:r>
    </w:p>
    <w:p w14:paraId="6CE37704" w14:textId="77777777" w:rsidR="00E331F4" w:rsidRPr="00E331F4" w:rsidRDefault="00E331F4" w:rsidP="00E331F4">
      <w:pPr>
        <w:pStyle w:val="ListBullet"/>
      </w:pPr>
      <w:r w:rsidRPr="00E331F4">
        <w:t>Queensland Ballet</w:t>
      </w:r>
    </w:p>
    <w:p w14:paraId="6D59C298" w14:textId="77777777" w:rsidR="00E331F4" w:rsidRPr="00E331F4" w:rsidRDefault="00E331F4" w:rsidP="00E331F4">
      <w:pPr>
        <w:pStyle w:val="ListBullet"/>
      </w:pPr>
      <w:r w:rsidRPr="00E331F4">
        <w:t>Raise Foundation</w:t>
      </w:r>
    </w:p>
    <w:p w14:paraId="278B4206" w14:textId="77777777" w:rsidR="00E331F4" w:rsidRPr="00E331F4" w:rsidRDefault="00E331F4" w:rsidP="00E331F4">
      <w:pPr>
        <w:pStyle w:val="ListBullet"/>
      </w:pPr>
      <w:r w:rsidRPr="00E331F4">
        <w:t>Red Earth Community Foundation South Burnett</w:t>
      </w:r>
    </w:p>
    <w:p w14:paraId="24709CF3" w14:textId="77777777" w:rsidR="00E331F4" w:rsidRPr="00E331F4" w:rsidRDefault="00E331F4" w:rsidP="00E331F4">
      <w:pPr>
        <w:pStyle w:val="ListBullet"/>
      </w:pPr>
      <w:r w:rsidRPr="00E331F4">
        <w:t>Royal Children’s Hospital Foundation</w:t>
      </w:r>
    </w:p>
    <w:p w14:paraId="0F41D5AC" w14:textId="77777777" w:rsidR="00E331F4" w:rsidRPr="00E331F4" w:rsidRDefault="00E331F4" w:rsidP="00E331F4">
      <w:pPr>
        <w:pStyle w:val="ListBullet"/>
      </w:pPr>
      <w:r w:rsidRPr="00E331F4">
        <w:t>Scanlon Foundation </w:t>
      </w:r>
    </w:p>
    <w:p w14:paraId="6BAECE38" w14:textId="77777777" w:rsidR="00E331F4" w:rsidRPr="00E331F4" w:rsidRDefault="00E331F4" w:rsidP="00E331F4">
      <w:pPr>
        <w:pStyle w:val="ListBullet"/>
      </w:pPr>
      <w:r w:rsidRPr="00E331F4">
        <w:t>Surf Life Saving Foundation</w:t>
      </w:r>
    </w:p>
    <w:p w14:paraId="2C2A3707" w14:textId="77777777" w:rsidR="00E331F4" w:rsidRPr="00E331F4" w:rsidRDefault="00E331F4" w:rsidP="00E331F4">
      <w:pPr>
        <w:pStyle w:val="ListBullet"/>
      </w:pPr>
      <w:r w:rsidRPr="00E331F4">
        <w:t>Sydney Community Foundation </w:t>
      </w:r>
    </w:p>
    <w:p w14:paraId="6A8DC49B" w14:textId="77777777" w:rsidR="00E331F4" w:rsidRPr="00E331F4" w:rsidRDefault="00E331F4" w:rsidP="00E331F4">
      <w:pPr>
        <w:pStyle w:val="ListBullet"/>
      </w:pPr>
      <w:r w:rsidRPr="00E331F4">
        <w:t>Telcos Together Foundation </w:t>
      </w:r>
    </w:p>
    <w:p w14:paraId="5BBC6FEF" w14:textId="77777777" w:rsidR="00E331F4" w:rsidRPr="00E331F4" w:rsidRDefault="00E331F4" w:rsidP="00E331F4">
      <w:pPr>
        <w:pStyle w:val="ListBullet"/>
      </w:pPr>
      <w:r w:rsidRPr="00E331F4">
        <w:t>The Prince Charles Hospital Foundation </w:t>
      </w:r>
    </w:p>
    <w:p w14:paraId="671F06CD" w14:textId="77777777" w:rsidR="00E331F4" w:rsidRPr="00E331F4" w:rsidRDefault="00E331F4" w:rsidP="00E331F4">
      <w:pPr>
        <w:pStyle w:val="ListBullet"/>
      </w:pPr>
      <w:r w:rsidRPr="00E331F4">
        <w:t>Trawalla Foundation </w:t>
      </w:r>
    </w:p>
    <w:p w14:paraId="2C54E4A7" w14:textId="77777777" w:rsidR="00E331F4" w:rsidRPr="00E331F4" w:rsidRDefault="00E331F4" w:rsidP="00E331F4">
      <w:pPr>
        <w:pStyle w:val="ListBullet"/>
      </w:pPr>
      <w:proofErr w:type="spellStart"/>
      <w:r w:rsidRPr="00E331F4">
        <w:t>Wheelton</w:t>
      </w:r>
      <w:proofErr w:type="spellEnd"/>
      <w:r w:rsidRPr="00E331F4">
        <w:t xml:space="preserve"> Family Charitable Trust </w:t>
      </w:r>
    </w:p>
    <w:p w14:paraId="4FD4B003" w14:textId="77777777" w:rsidR="00E331F4" w:rsidRDefault="00E331F4" w:rsidP="00E331F4">
      <w:pPr>
        <w:pStyle w:val="ListBullet"/>
      </w:pPr>
      <w:r w:rsidRPr="00E331F4">
        <w:t>Wise Foundation</w:t>
      </w:r>
    </w:p>
    <w:p w14:paraId="2D7138A9" w14:textId="77777777" w:rsidR="00E331F4" w:rsidRDefault="00E331F4" w:rsidP="00E331F4">
      <w:pPr>
        <w:pStyle w:val="BodyText"/>
      </w:pPr>
      <w:r>
        <w:br w:type="page"/>
      </w:r>
    </w:p>
    <w:p w14:paraId="6B976F81" w14:textId="77777777" w:rsidR="00E331F4" w:rsidRPr="00E331F4" w:rsidRDefault="00E331F4" w:rsidP="00E331F4">
      <w:pPr>
        <w:pStyle w:val="SubHeading"/>
      </w:pPr>
      <w:r w:rsidRPr="00E331F4">
        <w:lastRenderedPageBreak/>
        <w:t>Charities and other not-for-profits:</w:t>
      </w:r>
    </w:p>
    <w:p w14:paraId="2B9D85FA" w14:textId="77777777" w:rsidR="00E331F4" w:rsidRPr="00E331F4" w:rsidRDefault="00E331F4" w:rsidP="00E331F4">
      <w:pPr>
        <w:pStyle w:val="ListBullet"/>
      </w:pPr>
      <w:r w:rsidRPr="00E331F4">
        <w:t>Country Fire Authority</w:t>
      </w:r>
    </w:p>
    <w:p w14:paraId="552980B1" w14:textId="77777777" w:rsidR="00E331F4" w:rsidRPr="00E331F4" w:rsidRDefault="00E331F4" w:rsidP="00E331F4">
      <w:pPr>
        <w:pStyle w:val="ListBullet"/>
      </w:pPr>
      <w:r w:rsidRPr="00E331F4">
        <w:t>Girl Guides Australia </w:t>
      </w:r>
    </w:p>
    <w:p w14:paraId="343ADAF9" w14:textId="77777777" w:rsidR="00E331F4" w:rsidRPr="00E331F4" w:rsidRDefault="00E331F4" w:rsidP="00E331F4">
      <w:pPr>
        <w:pStyle w:val="ListBullet"/>
      </w:pPr>
      <w:r w:rsidRPr="00E331F4">
        <w:t>Good Beginnings Australia </w:t>
      </w:r>
    </w:p>
    <w:p w14:paraId="50EF3FAC" w14:textId="77777777" w:rsidR="00E331F4" w:rsidRPr="00E331F4" w:rsidRDefault="00E331F4" w:rsidP="00E331F4">
      <w:pPr>
        <w:pStyle w:val="ListBullet"/>
      </w:pPr>
      <w:r w:rsidRPr="00E331F4">
        <w:t>Many Rivers Microfinance </w:t>
      </w:r>
    </w:p>
    <w:p w14:paraId="056A92B0" w14:textId="77777777" w:rsidR="00E331F4" w:rsidRPr="00E331F4" w:rsidRDefault="00E331F4" w:rsidP="00E331F4">
      <w:pPr>
        <w:pStyle w:val="ListBullet"/>
      </w:pPr>
      <w:proofErr w:type="spellStart"/>
      <w:r w:rsidRPr="00E331F4">
        <w:t>RedR</w:t>
      </w:r>
      <w:proofErr w:type="spellEnd"/>
      <w:r w:rsidRPr="00E331F4">
        <w:t xml:space="preserve"> Australia</w:t>
      </w:r>
    </w:p>
    <w:p w14:paraId="648A1E4F" w14:textId="77777777" w:rsidR="00E331F4" w:rsidRPr="00E331F4" w:rsidRDefault="00E331F4" w:rsidP="00E331F4">
      <w:pPr>
        <w:pStyle w:val="ListBullet"/>
      </w:pPr>
      <w:r w:rsidRPr="00E331F4">
        <w:t>The Smith Family</w:t>
      </w:r>
    </w:p>
    <w:p w14:paraId="21B9BBA1" w14:textId="77777777" w:rsidR="00E331F4" w:rsidRPr="00E331F4" w:rsidRDefault="00E331F4" w:rsidP="00E331F4">
      <w:pPr>
        <w:pStyle w:val="ListBullet"/>
      </w:pPr>
      <w:r w:rsidRPr="00E331F4">
        <w:t>True Relationships and Reproductive Health</w:t>
      </w:r>
    </w:p>
    <w:p w14:paraId="6D5FDDC9" w14:textId="77777777" w:rsidR="00E331F4" w:rsidRPr="00E331F4" w:rsidRDefault="00E331F4" w:rsidP="00E331F4">
      <w:pPr>
        <w:pStyle w:val="ListBullet"/>
      </w:pPr>
      <w:r w:rsidRPr="00E331F4">
        <w:t>UN Youth Australia</w:t>
      </w:r>
    </w:p>
    <w:p w14:paraId="11CC611B" w14:textId="77777777" w:rsidR="00E331F4" w:rsidRPr="00E331F4" w:rsidRDefault="00E331F4" w:rsidP="00E331F4">
      <w:pPr>
        <w:pStyle w:val="ListBullet"/>
      </w:pPr>
      <w:proofErr w:type="spellStart"/>
      <w:r w:rsidRPr="00E331F4">
        <w:t>UnitingCare</w:t>
      </w:r>
      <w:proofErr w:type="spellEnd"/>
      <w:r w:rsidRPr="00E331F4">
        <w:t xml:space="preserve"> Australia</w:t>
      </w:r>
    </w:p>
    <w:p w14:paraId="68B610AA" w14:textId="77777777" w:rsidR="00E331F4" w:rsidRPr="00E331F4" w:rsidRDefault="00E331F4" w:rsidP="00E331F4">
      <w:pPr>
        <w:pStyle w:val="ListBullet"/>
      </w:pPr>
      <w:proofErr w:type="spellStart"/>
      <w:r w:rsidRPr="00E331F4">
        <w:t>Youngcare</w:t>
      </w:r>
      <w:proofErr w:type="spellEnd"/>
    </w:p>
    <w:p w14:paraId="2BAA2B04" w14:textId="77777777" w:rsidR="00E331F4" w:rsidRPr="00E331F4" w:rsidRDefault="00E331F4" w:rsidP="00E331F4">
      <w:pPr>
        <w:pStyle w:val="SubHeading"/>
      </w:pPr>
      <w:r w:rsidRPr="00E331F4">
        <w:t>Government agencies:</w:t>
      </w:r>
    </w:p>
    <w:p w14:paraId="3A410974" w14:textId="77777777" w:rsidR="00E331F4" w:rsidRPr="00E331F4" w:rsidRDefault="00E331F4" w:rsidP="00E331F4">
      <w:pPr>
        <w:pStyle w:val="ListBullet"/>
      </w:pPr>
      <w:r w:rsidRPr="00E331F4">
        <w:t xml:space="preserve">Australian </w:t>
      </w:r>
      <w:r>
        <w:t>Charities and </w:t>
      </w:r>
      <w:r w:rsidRPr="00E331F4">
        <w:t>Not-for-profits Commission</w:t>
      </w:r>
    </w:p>
    <w:p w14:paraId="6C14682D" w14:textId="77777777" w:rsidR="00E331F4" w:rsidRPr="00E331F4" w:rsidRDefault="00E331F4" w:rsidP="00E331F4">
      <w:pPr>
        <w:pStyle w:val="ListBullet"/>
      </w:pPr>
      <w:r w:rsidRPr="00E331F4">
        <w:t>Australian Council for the Arts </w:t>
      </w:r>
    </w:p>
    <w:p w14:paraId="65ED79A9" w14:textId="77777777" w:rsidR="00E331F4" w:rsidRPr="00E331F4" w:rsidRDefault="00E331F4" w:rsidP="00E331F4">
      <w:pPr>
        <w:pStyle w:val="ListBullet"/>
      </w:pPr>
      <w:r w:rsidRPr="00E331F4">
        <w:t>Australian Public Service Commission </w:t>
      </w:r>
    </w:p>
    <w:p w14:paraId="62613736" w14:textId="77777777" w:rsidR="00E331F4" w:rsidRPr="00E331F4" w:rsidRDefault="00E331F4" w:rsidP="00E331F4">
      <w:pPr>
        <w:pStyle w:val="ListBullet"/>
      </w:pPr>
      <w:r w:rsidRPr="00E331F4">
        <w:t>Australian Tax Office </w:t>
      </w:r>
    </w:p>
    <w:p w14:paraId="46900542" w14:textId="77777777" w:rsidR="00E331F4" w:rsidRPr="00E331F4" w:rsidRDefault="00E331F4" w:rsidP="00E331F4">
      <w:pPr>
        <w:pStyle w:val="ListBullet"/>
      </w:pPr>
      <w:r w:rsidRPr="00E331F4">
        <w:t>Creative Partnerships Australia</w:t>
      </w:r>
    </w:p>
    <w:p w14:paraId="1E268B5F" w14:textId="77777777" w:rsidR="00E331F4" w:rsidRPr="00E331F4" w:rsidRDefault="00E331F4" w:rsidP="00E331F4">
      <w:pPr>
        <w:pStyle w:val="ListBullet"/>
      </w:pPr>
      <w:r w:rsidRPr="00E331F4">
        <w:t>Department of Communication and the Arts </w:t>
      </w:r>
    </w:p>
    <w:p w14:paraId="47BD7F8C" w14:textId="77777777" w:rsidR="00E331F4" w:rsidRPr="00E331F4" w:rsidRDefault="00E331F4" w:rsidP="00E331F4">
      <w:pPr>
        <w:pStyle w:val="ListBullet"/>
      </w:pPr>
      <w:r w:rsidRPr="00E331F4">
        <w:t>Department of Education</w:t>
      </w:r>
    </w:p>
    <w:p w14:paraId="4BD2F500" w14:textId="77777777" w:rsidR="00E331F4" w:rsidRPr="00E331F4" w:rsidRDefault="00E331F4" w:rsidP="00E331F4">
      <w:pPr>
        <w:pStyle w:val="ListBullet"/>
      </w:pPr>
      <w:r w:rsidRPr="00E331F4">
        <w:t>Department of Employment </w:t>
      </w:r>
    </w:p>
    <w:p w14:paraId="770DE45A" w14:textId="77777777" w:rsidR="00E331F4" w:rsidRPr="00E331F4" w:rsidRDefault="00E331F4" w:rsidP="00E331F4">
      <w:pPr>
        <w:pStyle w:val="ListBullet"/>
      </w:pPr>
      <w:r w:rsidRPr="00E331F4">
        <w:t>Department of Health</w:t>
      </w:r>
    </w:p>
    <w:p w14:paraId="6AFE4B5A" w14:textId="77777777" w:rsidR="00E331F4" w:rsidRPr="00E331F4" w:rsidRDefault="00E331F4" w:rsidP="00E331F4">
      <w:pPr>
        <w:pStyle w:val="ListBullet"/>
      </w:pPr>
      <w:r w:rsidRPr="00E331F4">
        <w:t>Department of Social Services</w:t>
      </w:r>
    </w:p>
    <w:p w14:paraId="389DA2DF" w14:textId="77777777" w:rsidR="00E331F4" w:rsidRPr="00E331F4" w:rsidRDefault="00E331F4" w:rsidP="00E331F4">
      <w:pPr>
        <w:pStyle w:val="ListBullet"/>
      </w:pPr>
      <w:r w:rsidRPr="00E331F4">
        <w:t>Department of the Prime Minister and Cabinet</w:t>
      </w:r>
    </w:p>
    <w:p w14:paraId="127E2380" w14:textId="77777777" w:rsidR="00E331F4" w:rsidRPr="00E331F4" w:rsidRDefault="00E331F4" w:rsidP="00E331F4">
      <w:pPr>
        <w:pStyle w:val="ListBullet"/>
      </w:pPr>
      <w:r w:rsidRPr="00E331F4">
        <w:t>New South Wales Social Impact Unit</w:t>
      </w:r>
    </w:p>
    <w:p w14:paraId="0C249ADA" w14:textId="77777777" w:rsidR="00E331F4" w:rsidRPr="00E331F4" w:rsidRDefault="00E331F4" w:rsidP="00E331F4">
      <w:pPr>
        <w:pStyle w:val="ListBullet"/>
      </w:pPr>
      <w:r w:rsidRPr="00E331F4">
        <w:t>Queensland Treasury</w:t>
      </w:r>
    </w:p>
    <w:p w14:paraId="73555D42" w14:textId="77777777" w:rsidR="00E331F4" w:rsidRPr="00E331F4" w:rsidRDefault="00E331F4" w:rsidP="00E331F4">
      <w:pPr>
        <w:pStyle w:val="ListBullet"/>
      </w:pPr>
      <w:r w:rsidRPr="00E331F4">
        <w:t>The Treasury </w:t>
      </w:r>
    </w:p>
    <w:p w14:paraId="2CE7926E" w14:textId="77777777" w:rsidR="00E331F4" w:rsidRPr="00E331F4" w:rsidRDefault="00E331F4" w:rsidP="00E331F4">
      <w:pPr>
        <w:pStyle w:val="SubHeading"/>
      </w:pPr>
      <w:r w:rsidRPr="00E331F4">
        <w:t>Pre-eminent academics, international experts and academic institutions:</w:t>
      </w:r>
    </w:p>
    <w:p w14:paraId="4AE95DB4" w14:textId="77777777" w:rsidR="00E331F4" w:rsidRPr="00E331F4" w:rsidRDefault="00E331F4" w:rsidP="00E331F4">
      <w:pPr>
        <w:pStyle w:val="ListBullet"/>
      </w:pPr>
      <w:r w:rsidRPr="00E331F4">
        <w:t>Australian Centre for Philanthropy and Nonprofit Studies, Queensland University of Technology </w:t>
      </w:r>
    </w:p>
    <w:p w14:paraId="75BC90C3" w14:textId="77777777" w:rsidR="00E331F4" w:rsidRPr="00E331F4" w:rsidRDefault="00E331F4" w:rsidP="00E331F4">
      <w:pPr>
        <w:pStyle w:val="ListBullet"/>
      </w:pPr>
      <w:r w:rsidRPr="00E331F4">
        <w:t>Australian Housing and Urban Research Institute</w:t>
      </w:r>
    </w:p>
    <w:p w14:paraId="5E0A88E4" w14:textId="77777777" w:rsidR="00E331F4" w:rsidRPr="00E331F4" w:rsidRDefault="00E331F4" w:rsidP="00E331F4">
      <w:pPr>
        <w:pStyle w:val="ListBullet"/>
      </w:pPr>
      <w:r w:rsidRPr="00E331F4">
        <w:t>Centre for Corporate Public Affairs</w:t>
      </w:r>
    </w:p>
    <w:p w14:paraId="55327D00" w14:textId="77777777" w:rsidR="00E331F4" w:rsidRPr="00E331F4" w:rsidRDefault="00E331F4" w:rsidP="00E331F4">
      <w:pPr>
        <w:pStyle w:val="ListBullet"/>
      </w:pPr>
      <w:r w:rsidRPr="00E331F4">
        <w:t>Dr Beth Breeze, leading United Kingdom philanthropy researcher</w:t>
      </w:r>
    </w:p>
    <w:p w14:paraId="0CF2519A" w14:textId="77777777" w:rsidR="00E331F4" w:rsidRPr="00E331F4" w:rsidRDefault="00E331F4" w:rsidP="00E331F4">
      <w:pPr>
        <w:pStyle w:val="ListBullet"/>
      </w:pPr>
      <w:r w:rsidRPr="00E331F4">
        <w:t>Jonathan Bland, Managing Director, Social Business International </w:t>
      </w:r>
    </w:p>
    <w:p w14:paraId="47314A4D" w14:textId="77777777" w:rsidR="00E331F4" w:rsidRPr="00E331F4" w:rsidRDefault="00E331F4" w:rsidP="00E331F4">
      <w:pPr>
        <w:pStyle w:val="ListBullet"/>
      </w:pPr>
      <w:r w:rsidRPr="00E331F4">
        <w:t xml:space="preserve">Mark </w:t>
      </w:r>
      <w:proofErr w:type="spellStart"/>
      <w:r w:rsidRPr="00E331F4">
        <w:t>Sidel</w:t>
      </w:r>
      <w:proofErr w:type="spellEnd"/>
      <w:r w:rsidRPr="00E331F4">
        <w:t>, University of Wisconsin, United States</w:t>
      </w:r>
    </w:p>
    <w:p w14:paraId="48FC3F25" w14:textId="77777777" w:rsidR="00E331F4" w:rsidRPr="00E331F4" w:rsidRDefault="00E331F4" w:rsidP="00E331F4">
      <w:pPr>
        <w:pStyle w:val="ListBullet"/>
      </w:pPr>
      <w:r w:rsidRPr="00E331F4">
        <w:t>Swinburne University of Technology </w:t>
      </w:r>
    </w:p>
    <w:p w14:paraId="100F39BF" w14:textId="77777777" w:rsidR="00E331F4" w:rsidRPr="00E331F4" w:rsidRDefault="00E331F4" w:rsidP="00E331F4">
      <w:pPr>
        <w:pStyle w:val="ListBullet"/>
      </w:pPr>
      <w:r w:rsidRPr="00E331F4">
        <w:t>University of Queensland </w:t>
      </w:r>
    </w:p>
    <w:p w14:paraId="33271CEB" w14:textId="77777777" w:rsidR="00E331F4" w:rsidRPr="00E331F4" w:rsidRDefault="00E331F4" w:rsidP="00E331F4">
      <w:pPr>
        <w:pStyle w:val="BodyText"/>
      </w:pPr>
      <w:r w:rsidRPr="00E331F4">
        <w:t xml:space="preserve">Finally, ‘critical friends’ of the Partnership also gave generously of their time and expertise including David </w:t>
      </w:r>
      <w:proofErr w:type="spellStart"/>
      <w:r w:rsidRPr="00E331F4">
        <w:t>Gonski</w:t>
      </w:r>
      <w:proofErr w:type="spellEnd"/>
      <w:r w:rsidRPr="00E331F4">
        <w:t xml:space="preserve"> AC, Professor Myles McGregor-</w:t>
      </w:r>
      <w:proofErr w:type="spellStart"/>
      <w:r w:rsidRPr="00E331F4">
        <w:t>Lowndes</w:t>
      </w:r>
      <w:proofErr w:type="spellEnd"/>
      <w:r w:rsidRPr="00E331F4">
        <w:t xml:space="preserve">, Andrew Thomas, Patrick McClure AO, Anthony </w:t>
      </w:r>
      <w:proofErr w:type="spellStart"/>
      <w:r w:rsidRPr="00E331F4">
        <w:t>Benscher</w:t>
      </w:r>
      <w:proofErr w:type="spellEnd"/>
      <w:r w:rsidRPr="00E331F4">
        <w:t xml:space="preserve"> and Krystian Seibert. </w:t>
      </w:r>
    </w:p>
    <w:p w14:paraId="7E8D369D" w14:textId="77777777" w:rsidR="00E331F4" w:rsidRPr="00E331F4" w:rsidRDefault="00E331F4" w:rsidP="00E331F4">
      <w:pPr>
        <w:pStyle w:val="BodyText"/>
      </w:pPr>
      <w:r w:rsidRPr="00E331F4">
        <w:rPr>
          <w:i/>
        </w:rPr>
        <w:lastRenderedPageBreak/>
        <w:t>Congratulations to the Partnership on its achievements to date. Australia benefits enormously from philanthropy and volunteering. It’s rewarding for those who give as well as those who receive. You can’t take it with you but you can make a real and lasting impact on your community in the areas you particularly care about. </w:t>
      </w:r>
      <w:r w:rsidRPr="00E331F4">
        <w:t>David </w:t>
      </w:r>
      <w:proofErr w:type="spellStart"/>
      <w:r w:rsidRPr="00E331F4">
        <w:t>Gonski</w:t>
      </w:r>
      <w:proofErr w:type="spellEnd"/>
      <w:r w:rsidRPr="00E331F4">
        <w:t xml:space="preserve"> AC, Australian philanthropist and business leader</w:t>
      </w:r>
    </w:p>
    <w:p w14:paraId="0A751DAC" w14:textId="77777777" w:rsidR="00E331F4" w:rsidRPr="00E331F4" w:rsidRDefault="00E331F4" w:rsidP="00E331F4">
      <w:pPr>
        <w:pStyle w:val="BodyText"/>
      </w:pPr>
      <w:r w:rsidRPr="00E331F4">
        <w:rPr>
          <w:i/>
        </w:rPr>
        <w:t>It has been a privilege to contribute to the Partnership’s considerations on ideas to take giving to the next level in Australia. These opportunities to work with such dedicated and passionate people come along rarely and I am sure the deliberations will bear fruit.</w:t>
      </w:r>
      <w:r w:rsidRPr="00E331F4">
        <w:t> Professor Myles McGregor-Lowndes, Queensland University of Technology Business School</w:t>
      </w:r>
    </w:p>
    <w:p w14:paraId="4A00140B" w14:textId="77777777" w:rsidR="00E331F4" w:rsidRPr="00E331F4" w:rsidRDefault="00E331F4" w:rsidP="00E331F4">
      <w:pPr>
        <w:pStyle w:val="BodyText"/>
      </w:pPr>
      <w:r w:rsidRPr="00E331F4">
        <w:t xml:space="preserve">Thanks also to staff and clients of Perpetual and </w:t>
      </w:r>
      <w:proofErr w:type="spellStart"/>
      <w:r w:rsidRPr="00E331F4">
        <w:t>JBWere</w:t>
      </w:r>
      <w:proofErr w:type="spellEnd"/>
      <w:r w:rsidRPr="00E331F4">
        <w:t xml:space="preserve"> who generously gave of their time and expertise. </w:t>
      </w:r>
    </w:p>
    <w:p w14:paraId="000DCB8F" w14:textId="77777777" w:rsidR="00E331F4" w:rsidRPr="00E331F4" w:rsidRDefault="00E331F4" w:rsidP="00E331F4">
      <w:pPr>
        <w:pStyle w:val="BodyText"/>
      </w:pPr>
      <w:r w:rsidRPr="00E331F4">
        <w:t>In addition to the other engagement activities, Partnership members attended the 2015 Philanthropy Meets Parliament Summit in September and held discussions with a range of sector and government representatives. The panel session exploring big policy ideas stimulated bold debate and revealed a range of perspectives to consider and opportunities to harness.</w:t>
      </w:r>
    </w:p>
    <w:p w14:paraId="2C46CD18" w14:textId="64AE03CD" w:rsidR="00E331F4" w:rsidRPr="00E331F4" w:rsidRDefault="00E331F4" w:rsidP="00E331F4">
      <w:pPr>
        <w:pStyle w:val="BodyText"/>
      </w:pPr>
      <w:r w:rsidRPr="00E331F4">
        <w:t>The Partnership established the website &lt;</w:t>
      </w:r>
      <w:hyperlink r:id="rId12" w:history="1">
        <w:r w:rsidRPr="008A3D48">
          <w:rPr>
            <w:rStyle w:val="Hyperlink"/>
          </w:rPr>
          <w:t>www.communitybusinesspartnership.</w:t>
        </w:r>
        <w:r w:rsidR="008A3D48" w:rsidRPr="008A3D48">
          <w:rPr>
            <w:rStyle w:val="Hyperlink"/>
          </w:rPr>
          <w:t>gov.au</w:t>
        </w:r>
      </w:hyperlink>
      <w:r w:rsidRPr="00E331F4">
        <w:t>&gt; for engagement with the public. Referrals were made to the site from sector and research partners’ websites, departmental and ministerial sites, as well as from social media avenues. </w:t>
      </w:r>
      <w:bookmarkStart w:id="8" w:name="_GoBack"/>
      <w:bookmarkEnd w:id="8"/>
    </w:p>
    <w:p w14:paraId="3336E8A3" w14:textId="77777777" w:rsidR="00E331F4" w:rsidRPr="00E331F4" w:rsidRDefault="00E331F4" w:rsidP="00E331F4">
      <w:pPr>
        <w:pStyle w:val="SubHeading"/>
      </w:pPr>
      <w:r>
        <w:t>In 2015, the Partnership’s website was accessed 5,699 times with a total of 3,170 unique users from 27 countries Available resources were downloaded 207 times</w:t>
      </w:r>
    </w:p>
    <w:p w14:paraId="5C87914D" w14:textId="77777777" w:rsidR="00E331F4" w:rsidRPr="00E331F4" w:rsidRDefault="00E331F4" w:rsidP="00E331F4">
      <w:pPr>
        <w:pStyle w:val="Heading1"/>
      </w:pPr>
      <w:bookmarkStart w:id="9" w:name="_Toc447200375"/>
      <w:r w:rsidRPr="00E331F4">
        <w:t>Partnership operations</w:t>
      </w:r>
      <w:bookmarkEnd w:id="9"/>
    </w:p>
    <w:p w14:paraId="57DE19E0" w14:textId="77777777" w:rsidR="00E331F4" w:rsidRPr="00E331F4" w:rsidRDefault="00E331F4" w:rsidP="00E331F4">
      <w:pPr>
        <w:pStyle w:val="BodyText"/>
      </w:pPr>
      <w:r w:rsidRPr="00E331F4">
        <w:t>The Prime Minister’s Community Business Partnership was re-established in late 2014 to bring together leaders from the business and community sectors to promote philanthropic giving and investment in Australia.</w:t>
      </w:r>
    </w:p>
    <w:p w14:paraId="7E939D95" w14:textId="77777777" w:rsidR="00E331F4" w:rsidRPr="001F6EB0" w:rsidRDefault="00E331F4" w:rsidP="00E331F4">
      <w:pPr>
        <w:pStyle w:val="BodyText"/>
        <w:rPr>
          <w:i/>
        </w:rPr>
      </w:pPr>
      <w:r w:rsidRPr="001F6EB0">
        <w:rPr>
          <w:i/>
        </w:rPr>
        <w:t>The Partnership’s insights can build a philanthropic and charity sector that is innovative and nimble, responsive to emerging technologies and quick to react to new trends. </w:t>
      </w:r>
    </w:p>
    <w:p w14:paraId="00115CF6" w14:textId="77777777" w:rsidR="00E331F4" w:rsidRPr="00E331F4" w:rsidRDefault="00E331F4" w:rsidP="00E331F4">
      <w:pPr>
        <w:pStyle w:val="BodyText"/>
        <w:contextualSpacing/>
        <w:rPr>
          <w:b/>
        </w:rPr>
      </w:pPr>
      <w:r w:rsidRPr="00E331F4">
        <w:rPr>
          <w:b/>
        </w:rPr>
        <w:t>The Hon Malcolm Turnbull MP</w:t>
      </w:r>
    </w:p>
    <w:p w14:paraId="3527F859" w14:textId="77777777" w:rsidR="00E331F4" w:rsidRPr="00E331F4" w:rsidRDefault="00E331F4" w:rsidP="00E331F4">
      <w:pPr>
        <w:pStyle w:val="BodyText"/>
      </w:pPr>
      <w:r w:rsidRPr="00E331F4">
        <w:t>Prime Minister</w:t>
      </w:r>
    </w:p>
    <w:p w14:paraId="596F43E6" w14:textId="77777777" w:rsidR="00E331F4" w:rsidRPr="00E331F4" w:rsidRDefault="00E331F4" w:rsidP="00E331F4">
      <w:pPr>
        <w:pStyle w:val="Heading2"/>
      </w:pPr>
      <w:r w:rsidRPr="00E331F4">
        <w:t>Membership</w:t>
      </w:r>
    </w:p>
    <w:p w14:paraId="1C8CC6AB" w14:textId="77777777" w:rsidR="00E331F4" w:rsidRPr="00E331F4" w:rsidRDefault="00E331F4" w:rsidP="00E331F4">
      <w:pPr>
        <w:pStyle w:val="BodyText"/>
      </w:pPr>
      <w:r w:rsidRPr="00E331F4">
        <w:t>The Prime Minister, the Hon Malcolm Turnbull MP, chairs the Partnership and the Minister for Social Services, the Hon Christian Porter MP, is Deputy Chair. The Assistant Minister for Productivity, the Hon Dr Peter Hendy MP is also a member. The Partnership currently comprises 12 non-government members and includes representation from both the business and community sectors. </w:t>
      </w:r>
    </w:p>
    <w:p w14:paraId="5FAE481D" w14:textId="77777777" w:rsidR="00E331F4" w:rsidRPr="00E331F4" w:rsidRDefault="00E331F4" w:rsidP="00E331F4">
      <w:pPr>
        <w:pStyle w:val="BodyText"/>
      </w:pPr>
      <w:r w:rsidRPr="00E331F4">
        <w:t>Partnership members have a strong commitment to the shared benefits of partnerships between business and community organisations. They bring expertise in fundraising and volunteering, philanthropy, innovation and regulatory structures.</w:t>
      </w:r>
    </w:p>
    <w:p w14:paraId="3C117101" w14:textId="77777777" w:rsidR="00E331F4" w:rsidRPr="00E464E1" w:rsidRDefault="00E331F4" w:rsidP="00E331F4">
      <w:pPr>
        <w:pStyle w:val="BodyText"/>
        <w:rPr>
          <w:i/>
        </w:rPr>
      </w:pPr>
      <w:r w:rsidRPr="00E464E1">
        <w:rPr>
          <w:i/>
        </w:rPr>
        <w:t>I look forward to working with members in 2016, particularly in relation to growing giving and innovation in business and community partnerships. </w:t>
      </w:r>
    </w:p>
    <w:p w14:paraId="0428FF7F" w14:textId="77777777" w:rsidR="00E331F4" w:rsidRPr="00E331F4" w:rsidRDefault="00E331F4" w:rsidP="00E331F4">
      <w:pPr>
        <w:pStyle w:val="BodyText"/>
        <w:contextualSpacing/>
        <w:rPr>
          <w:b/>
        </w:rPr>
      </w:pPr>
      <w:r w:rsidRPr="00E331F4">
        <w:rPr>
          <w:b/>
        </w:rPr>
        <w:t>The Hon Christian Porter MP</w:t>
      </w:r>
    </w:p>
    <w:p w14:paraId="33DE4D3B" w14:textId="77777777" w:rsidR="00E331F4" w:rsidRPr="00E331F4" w:rsidRDefault="00E331F4" w:rsidP="00E331F4">
      <w:pPr>
        <w:pStyle w:val="BodyText"/>
      </w:pPr>
      <w:r w:rsidRPr="00E331F4">
        <w:t>Minister for Social Services</w:t>
      </w:r>
    </w:p>
    <w:p w14:paraId="72459CB5" w14:textId="77777777" w:rsidR="00E331F4" w:rsidRPr="00E331F4" w:rsidRDefault="00E331F4" w:rsidP="00E331F4">
      <w:pPr>
        <w:pStyle w:val="BodyText"/>
      </w:pPr>
      <w:r w:rsidRPr="00E331F4">
        <w:t>Members are:</w:t>
      </w:r>
    </w:p>
    <w:p w14:paraId="7399C882" w14:textId="77777777" w:rsidR="00E331F4" w:rsidRPr="00E331F4" w:rsidRDefault="00E331F4" w:rsidP="00E331F4">
      <w:pPr>
        <w:pStyle w:val="ListBullet"/>
      </w:pPr>
      <w:r w:rsidRPr="00E331F4">
        <w:t>The Hon Malcolm Turnbull MP</w:t>
      </w:r>
    </w:p>
    <w:p w14:paraId="6DAE0DB2" w14:textId="77777777" w:rsidR="00E331F4" w:rsidRPr="00E331F4" w:rsidRDefault="00E331F4" w:rsidP="00E331F4">
      <w:pPr>
        <w:pStyle w:val="ListBullet"/>
      </w:pPr>
      <w:r w:rsidRPr="00E331F4">
        <w:t>The Hon Christian Porter MP</w:t>
      </w:r>
    </w:p>
    <w:p w14:paraId="49506A36" w14:textId="77777777" w:rsidR="00E331F4" w:rsidRPr="00E331F4" w:rsidRDefault="00E331F4" w:rsidP="00E331F4">
      <w:pPr>
        <w:pStyle w:val="ListBullet"/>
      </w:pPr>
      <w:r w:rsidRPr="00E331F4">
        <w:t>The Hon Dr Peter Hendy MP</w:t>
      </w:r>
    </w:p>
    <w:p w14:paraId="2D077FE5" w14:textId="77777777" w:rsidR="00E331F4" w:rsidRPr="00E331F4" w:rsidRDefault="00E331F4" w:rsidP="00E331F4">
      <w:pPr>
        <w:pStyle w:val="ListBullet"/>
      </w:pPr>
      <w:r w:rsidRPr="00E331F4">
        <w:t>Ms Alexandra Gartmann</w:t>
      </w:r>
    </w:p>
    <w:p w14:paraId="13C24BB6" w14:textId="77777777" w:rsidR="00E331F4" w:rsidRPr="00E331F4" w:rsidRDefault="00E331F4" w:rsidP="00E331F4">
      <w:pPr>
        <w:pStyle w:val="ListBullet"/>
      </w:pPr>
      <w:r w:rsidRPr="00E331F4">
        <w:t>Ms Angela Perry</w:t>
      </w:r>
    </w:p>
    <w:p w14:paraId="1FDF3E97" w14:textId="77777777" w:rsidR="00E331F4" w:rsidRPr="00E331F4" w:rsidRDefault="00E331F4" w:rsidP="00E331F4">
      <w:pPr>
        <w:pStyle w:val="ListBullet"/>
      </w:pPr>
      <w:r w:rsidRPr="00E331F4">
        <w:t>Mr Ben Gales</w:t>
      </w:r>
    </w:p>
    <w:p w14:paraId="5270E68B" w14:textId="77777777" w:rsidR="00E331F4" w:rsidRPr="00E331F4" w:rsidRDefault="00E331F4" w:rsidP="00E331F4">
      <w:pPr>
        <w:pStyle w:val="ListBullet"/>
      </w:pPr>
      <w:r w:rsidRPr="00E331F4">
        <w:t>Ms Colleen McGann</w:t>
      </w:r>
    </w:p>
    <w:p w14:paraId="50494B78" w14:textId="77777777" w:rsidR="00E331F4" w:rsidRPr="00E331F4" w:rsidRDefault="00E331F4" w:rsidP="00E331F4">
      <w:pPr>
        <w:pStyle w:val="ListBullet"/>
      </w:pPr>
      <w:r w:rsidRPr="00E331F4">
        <w:lastRenderedPageBreak/>
        <w:t>The Hon Dr Gary Johns</w:t>
      </w:r>
    </w:p>
    <w:p w14:paraId="26E126CB" w14:textId="77777777" w:rsidR="00E331F4" w:rsidRPr="00E331F4" w:rsidRDefault="00E331F4" w:rsidP="00E331F4">
      <w:pPr>
        <w:pStyle w:val="ListBullet"/>
      </w:pPr>
      <w:r w:rsidRPr="00E331F4">
        <w:t>Mr Kevin Bailey</w:t>
      </w:r>
    </w:p>
    <w:p w14:paraId="2699F850" w14:textId="77777777" w:rsidR="00E331F4" w:rsidRPr="00E331F4" w:rsidRDefault="00E331F4" w:rsidP="00E331F4">
      <w:pPr>
        <w:pStyle w:val="ListBullet"/>
      </w:pPr>
      <w:r w:rsidRPr="00E331F4">
        <w:t>Ms Melanie Cooper</w:t>
      </w:r>
    </w:p>
    <w:p w14:paraId="7BD7E23C" w14:textId="77777777" w:rsidR="00E331F4" w:rsidRPr="00E331F4" w:rsidRDefault="00E331F4" w:rsidP="00E331F4">
      <w:pPr>
        <w:pStyle w:val="ListBullet"/>
      </w:pPr>
      <w:r w:rsidRPr="00E331F4">
        <w:t>Ms Nicola Forrest</w:t>
      </w:r>
    </w:p>
    <w:p w14:paraId="240F1B73" w14:textId="77777777" w:rsidR="00E331F4" w:rsidRPr="00E331F4" w:rsidRDefault="00E331F4" w:rsidP="00E331F4">
      <w:pPr>
        <w:pStyle w:val="ListBullet"/>
      </w:pPr>
      <w:r w:rsidRPr="00E331F4">
        <w:t>Mr Peter Scott</w:t>
      </w:r>
    </w:p>
    <w:p w14:paraId="729CC3CC" w14:textId="77777777" w:rsidR="00E331F4" w:rsidRPr="00E331F4" w:rsidRDefault="00E331F4" w:rsidP="00E331F4">
      <w:pPr>
        <w:pStyle w:val="ListBullet"/>
      </w:pPr>
      <w:r w:rsidRPr="00E331F4">
        <w:t>Mr Peter Treseder AM</w:t>
      </w:r>
    </w:p>
    <w:p w14:paraId="03104BB8" w14:textId="77777777" w:rsidR="00E331F4" w:rsidRPr="00E331F4" w:rsidRDefault="00E331F4" w:rsidP="00E331F4">
      <w:pPr>
        <w:pStyle w:val="ListBullet"/>
      </w:pPr>
      <w:r w:rsidRPr="00E331F4">
        <w:t>The Hon Tim Fischer AC</w:t>
      </w:r>
    </w:p>
    <w:p w14:paraId="233586D2" w14:textId="77777777" w:rsidR="00E331F4" w:rsidRPr="00E331F4" w:rsidRDefault="00E331F4" w:rsidP="00E331F4">
      <w:pPr>
        <w:pStyle w:val="ListBullet"/>
      </w:pPr>
      <w:r w:rsidRPr="00E331F4">
        <w:t>Mr Tony Stuart.</w:t>
      </w:r>
    </w:p>
    <w:p w14:paraId="5781E9E0" w14:textId="77777777" w:rsidR="00E331F4" w:rsidRPr="00E331F4" w:rsidRDefault="00E331F4" w:rsidP="00E331F4">
      <w:pPr>
        <w:pStyle w:val="BodyText"/>
      </w:pPr>
      <w:r w:rsidRPr="00E331F4">
        <w:t>Members’ biographies are at Appendix B. </w:t>
      </w:r>
    </w:p>
    <w:p w14:paraId="2DF62113" w14:textId="77777777" w:rsidR="00E331F4" w:rsidRPr="00E331F4" w:rsidRDefault="00E331F4" w:rsidP="00E331F4">
      <w:pPr>
        <w:pStyle w:val="BodyText"/>
      </w:pPr>
      <w:r w:rsidRPr="00E331F4">
        <w:t xml:space="preserve">The Partnership was previously chaired by the former Prime Minister the Hon Tony Abbott MP, with the Hon Kevin Andrews MP and the Hon Scott Morrison MP as Deputy Chair during their office as Minister for Social Services. The Hon Josh </w:t>
      </w:r>
      <w:proofErr w:type="spellStart"/>
      <w:r w:rsidRPr="00E331F4">
        <w:t>Frydenberg</w:t>
      </w:r>
      <w:proofErr w:type="spellEnd"/>
      <w:r w:rsidRPr="00E331F4">
        <w:t xml:space="preserve"> MP and the Hon Christian Porter MP were also members during their time as Parliamentary Secretary to the Prime Minister with special responsibility for deregulation. </w:t>
      </w:r>
    </w:p>
    <w:p w14:paraId="565FA28E" w14:textId="77777777" w:rsidR="00E331F4" w:rsidRPr="00E331F4" w:rsidRDefault="00E331F4" w:rsidP="00E331F4">
      <w:pPr>
        <w:pStyle w:val="Heading2"/>
      </w:pPr>
      <w:r w:rsidRPr="00E331F4">
        <w:t>Secretariat</w:t>
      </w:r>
    </w:p>
    <w:p w14:paraId="2DEBF475" w14:textId="77777777" w:rsidR="00E331F4" w:rsidRPr="00E331F4" w:rsidRDefault="00E331F4" w:rsidP="00E331F4">
      <w:pPr>
        <w:pStyle w:val="BodyText"/>
      </w:pPr>
      <w:r w:rsidRPr="00E331F4">
        <w:t>The Partnership is supported by a Secretariat within the Department of Social Services in consultation with the Department of the Prime Minister and Cabinet. The Secretariat’s role includes:</w:t>
      </w:r>
    </w:p>
    <w:p w14:paraId="500E024C" w14:textId="77777777" w:rsidR="00E331F4" w:rsidRPr="00E331F4" w:rsidRDefault="00E331F4" w:rsidP="00E331F4">
      <w:pPr>
        <w:pStyle w:val="ListBullet"/>
      </w:pPr>
      <w:r w:rsidRPr="00E331F4">
        <w:t>commissioning research and developing policy </w:t>
      </w:r>
    </w:p>
    <w:p w14:paraId="447AF6A0" w14:textId="77777777" w:rsidR="00E331F4" w:rsidRPr="00E331F4" w:rsidRDefault="00E331F4" w:rsidP="00E331F4">
      <w:pPr>
        <w:pStyle w:val="ListBullet"/>
      </w:pPr>
      <w:r w:rsidRPr="00E331F4">
        <w:t>supporting Partnership meetings, including working groups</w:t>
      </w:r>
    </w:p>
    <w:p w14:paraId="3C5429DF" w14:textId="77777777" w:rsidR="00E331F4" w:rsidRPr="00E331F4" w:rsidRDefault="00E331F4" w:rsidP="00E331F4">
      <w:pPr>
        <w:pStyle w:val="ListBullet"/>
      </w:pPr>
      <w:r w:rsidRPr="00E331F4">
        <w:t>maintaining a public-facing mailbox for queries, and managing the Partnership’s website</w:t>
      </w:r>
    </w:p>
    <w:p w14:paraId="03D73060" w14:textId="77777777" w:rsidR="00E331F4" w:rsidRPr="00E331F4" w:rsidRDefault="00E331F4" w:rsidP="00E331F4">
      <w:pPr>
        <w:pStyle w:val="ListBullet"/>
      </w:pPr>
      <w:r w:rsidRPr="00E331F4">
        <w:t>facilitating stakeholder engagement for the Partnership</w:t>
      </w:r>
    </w:p>
    <w:p w14:paraId="7167769D" w14:textId="77777777" w:rsidR="00E331F4" w:rsidRDefault="00E331F4" w:rsidP="00E331F4">
      <w:pPr>
        <w:pStyle w:val="ListBullet"/>
      </w:pPr>
      <w:r w:rsidRPr="00E331F4">
        <w:t>liaising with government departments and other agencies to assist the Partnership in achieving outcomes</w:t>
      </w:r>
    </w:p>
    <w:p w14:paraId="293E5787" w14:textId="77777777" w:rsidR="00E331F4" w:rsidRDefault="00E331F4" w:rsidP="00E331F4">
      <w:pPr>
        <w:pStyle w:val="BodyText"/>
      </w:pPr>
      <w:r>
        <w:br w:type="page"/>
      </w:r>
    </w:p>
    <w:p w14:paraId="57B09E7F" w14:textId="77777777" w:rsidR="00E331F4" w:rsidRPr="00E331F4" w:rsidRDefault="00E464E1" w:rsidP="00E464E1">
      <w:pPr>
        <w:pStyle w:val="Heading1"/>
      </w:pPr>
      <w:bookmarkStart w:id="10" w:name="_Toc447200376"/>
      <w:r>
        <w:lastRenderedPageBreak/>
        <w:t xml:space="preserve">Appendix A: </w:t>
      </w:r>
      <w:r w:rsidR="00E331F4" w:rsidRPr="00E331F4">
        <w:t>Terms of Reference</w:t>
      </w:r>
      <w:bookmarkEnd w:id="10"/>
    </w:p>
    <w:p w14:paraId="2DBD60C7" w14:textId="77777777" w:rsidR="00E331F4" w:rsidRPr="00E331F4" w:rsidRDefault="00E331F4" w:rsidP="00E331F4">
      <w:pPr>
        <w:pStyle w:val="Heading2"/>
      </w:pPr>
      <w:r w:rsidRPr="00E331F4">
        <w:t>Purpose</w:t>
      </w:r>
    </w:p>
    <w:p w14:paraId="553688AF" w14:textId="77777777" w:rsidR="00E331F4" w:rsidRPr="00E331F4" w:rsidRDefault="00E331F4" w:rsidP="00E331F4">
      <w:pPr>
        <w:pStyle w:val="ListNumber"/>
        <w:numPr>
          <w:ilvl w:val="6"/>
          <w:numId w:val="36"/>
        </w:numPr>
      </w:pPr>
      <w:r w:rsidRPr="00E331F4">
        <w:t>The Community Business Partnership (the ‘Partnership’) will bring together leaders from the business and community sectors to promote philanthropic giving and investment in Australia.</w:t>
      </w:r>
    </w:p>
    <w:p w14:paraId="28268BF9" w14:textId="77777777" w:rsidR="00E331F4" w:rsidRPr="00E331F4" w:rsidRDefault="00E331F4" w:rsidP="00E331F4">
      <w:pPr>
        <w:pStyle w:val="Heading2"/>
      </w:pPr>
      <w:r w:rsidRPr="00E331F4">
        <w:t>Role</w:t>
      </w:r>
    </w:p>
    <w:p w14:paraId="69D4A699" w14:textId="77777777" w:rsidR="00E331F4" w:rsidRPr="00E331F4" w:rsidRDefault="00E331F4" w:rsidP="00E331F4">
      <w:pPr>
        <w:pStyle w:val="ListNumber"/>
      </w:pPr>
      <w:r w:rsidRPr="00E331F4">
        <w:t>The Partnership will advise the Government on practical strategies to foster a culture of philanthropic giving, volunteering and investment in Australia in order to strengthen communities. It will focus on the following priority areas:</w:t>
      </w:r>
    </w:p>
    <w:p w14:paraId="1E081EF0" w14:textId="77777777" w:rsidR="00E331F4" w:rsidRPr="00E331F4" w:rsidRDefault="00E331F4" w:rsidP="0020054F">
      <w:pPr>
        <w:pStyle w:val="ListNumber2"/>
      </w:pPr>
      <w:r w:rsidRPr="00E331F4">
        <w:t>eliminating institutional barriers to philanthropic giving, including through red tape reduction</w:t>
      </w:r>
    </w:p>
    <w:p w14:paraId="3897B17C" w14:textId="77777777" w:rsidR="00E331F4" w:rsidRPr="00E331F4" w:rsidRDefault="00E331F4" w:rsidP="0020054F">
      <w:pPr>
        <w:pStyle w:val="ListNumber2"/>
      </w:pPr>
      <w:r w:rsidRPr="00E331F4">
        <w:t>considering the potential of innovative investment and finance models and structures to support a culture of giving and service, which may include tax arrangements</w:t>
      </w:r>
    </w:p>
    <w:p w14:paraId="2E80A2C9" w14:textId="77777777" w:rsidR="00E331F4" w:rsidRPr="00E331F4" w:rsidRDefault="0020054F" w:rsidP="0020054F">
      <w:pPr>
        <w:pStyle w:val="ListNumber2"/>
      </w:pPr>
      <w:proofErr w:type="gramStart"/>
      <w:r>
        <w:t>r</w:t>
      </w:r>
      <w:r w:rsidR="00E331F4" w:rsidRPr="00E331F4">
        <w:t>esearch</w:t>
      </w:r>
      <w:proofErr w:type="gramEnd"/>
      <w:r w:rsidR="00E331F4" w:rsidRPr="00E331F4">
        <w:t xml:space="preserve"> on trends in philanthropy, giving and volunteering and on innovation, education and best practice in the sector, including examination of international strategies and trends.</w:t>
      </w:r>
    </w:p>
    <w:p w14:paraId="17F1D077" w14:textId="77777777" w:rsidR="00E331F4" w:rsidRPr="00E331F4" w:rsidRDefault="00E331F4" w:rsidP="0020054F">
      <w:pPr>
        <w:pStyle w:val="ListNumber"/>
      </w:pPr>
      <w:r w:rsidRPr="00E331F4">
        <w:t>The Partnership will also provide expert advice on regulatory issues and deregulation opportunities.</w:t>
      </w:r>
    </w:p>
    <w:p w14:paraId="32D717BC" w14:textId="77777777" w:rsidR="00E331F4" w:rsidRPr="00E331F4" w:rsidRDefault="00E331F4" w:rsidP="0020054F">
      <w:pPr>
        <w:pStyle w:val="ListNumber"/>
      </w:pPr>
      <w:r w:rsidRPr="00E331F4">
        <w:t>The Partnership will engage with a variety of expert individuals and organisations.</w:t>
      </w:r>
    </w:p>
    <w:p w14:paraId="00B64B1C" w14:textId="77777777" w:rsidR="00E331F4" w:rsidRPr="00E331F4" w:rsidRDefault="00E331F4" w:rsidP="0020054F">
      <w:pPr>
        <w:pStyle w:val="ListNumber"/>
      </w:pPr>
      <w:r w:rsidRPr="00E331F4">
        <w:t>The Partnership will report annually on its activities.</w:t>
      </w:r>
    </w:p>
    <w:p w14:paraId="6C6C3368" w14:textId="77777777" w:rsidR="00E331F4" w:rsidRPr="00E331F4" w:rsidRDefault="00E331F4" w:rsidP="0020054F">
      <w:pPr>
        <w:pStyle w:val="ListNumber"/>
      </w:pPr>
      <w:r w:rsidRPr="00E331F4">
        <w:t>The Partnership will be reviewed in its third year to consider the impact of its work.</w:t>
      </w:r>
    </w:p>
    <w:p w14:paraId="0DFD0C81" w14:textId="77777777" w:rsidR="00E331F4" w:rsidRPr="00E331F4" w:rsidRDefault="00E331F4" w:rsidP="0020054F">
      <w:pPr>
        <w:pStyle w:val="Heading2"/>
      </w:pPr>
      <w:r w:rsidRPr="00E331F4">
        <w:t>Membership</w:t>
      </w:r>
    </w:p>
    <w:p w14:paraId="3FD56949" w14:textId="77777777" w:rsidR="00E331F4" w:rsidRPr="0020054F" w:rsidRDefault="00E331F4" w:rsidP="0020054F">
      <w:pPr>
        <w:pStyle w:val="ListNumber"/>
      </w:pPr>
      <w:r w:rsidRPr="00E331F4">
        <w:t xml:space="preserve">The Partnership will be composed of up to 15 members, including the Chair and Deputy Chair, and will include </w:t>
      </w:r>
      <w:r w:rsidRPr="0020054F">
        <w:t>representation from both the business and community sectors.</w:t>
      </w:r>
    </w:p>
    <w:p w14:paraId="7934E6BD" w14:textId="77777777" w:rsidR="00E331F4" w:rsidRPr="0020054F" w:rsidRDefault="00E331F4" w:rsidP="0020054F">
      <w:pPr>
        <w:pStyle w:val="ListNumber"/>
      </w:pPr>
      <w:r w:rsidRPr="0020054F">
        <w:t>Members will have demonstrated a strong commitment to the shared benefits of partnerships between business and community organisations. Members will also bring expertise in fundraising and volunteering, philanthropy, innovation and regulatory structures.</w:t>
      </w:r>
    </w:p>
    <w:p w14:paraId="7D84DCF6" w14:textId="77777777" w:rsidR="00E331F4" w:rsidRPr="0020054F" w:rsidRDefault="00E331F4" w:rsidP="0020054F">
      <w:pPr>
        <w:pStyle w:val="ListNumber"/>
      </w:pPr>
      <w:r w:rsidRPr="0020054F">
        <w:t>The Prime Minister will chair the Partnership and the Minister for Social Services will serve as Deputy Chair.</w:t>
      </w:r>
    </w:p>
    <w:p w14:paraId="6D1DD6C1" w14:textId="77777777" w:rsidR="00E331F4" w:rsidRPr="0020054F" w:rsidRDefault="00E331F4" w:rsidP="0020054F">
      <w:pPr>
        <w:pStyle w:val="ListNumber"/>
      </w:pPr>
      <w:r w:rsidRPr="0020054F">
        <w:t>Membership will be for a term of up to three years, subject to review by the Prime Minister in consultation with the Minister for Social Services.</w:t>
      </w:r>
    </w:p>
    <w:p w14:paraId="2CC4A107" w14:textId="77777777" w:rsidR="00E331F4" w:rsidRPr="00E331F4" w:rsidRDefault="00E331F4" w:rsidP="0020054F">
      <w:pPr>
        <w:pStyle w:val="Heading2"/>
      </w:pPr>
      <w:r w:rsidRPr="00E331F4">
        <w:t>Meetings</w:t>
      </w:r>
    </w:p>
    <w:p w14:paraId="0E624736" w14:textId="77777777" w:rsidR="00E331F4" w:rsidRPr="00E331F4" w:rsidRDefault="00E331F4" w:rsidP="0020054F">
      <w:pPr>
        <w:pStyle w:val="ListNumber"/>
      </w:pPr>
      <w:r w:rsidRPr="00E331F4">
        <w:t>The Partnership will meet twice a year and issue a statement after each meeting.</w:t>
      </w:r>
    </w:p>
    <w:p w14:paraId="6B52A8E6" w14:textId="77777777" w:rsidR="00E331F4" w:rsidRPr="00E331F4" w:rsidRDefault="00E331F4" w:rsidP="0020054F">
      <w:pPr>
        <w:pStyle w:val="ListNumber"/>
      </w:pPr>
      <w:r w:rsidRPr="00E331F4">
        <w:t>The quorum for Partnership meetings will be at least six members, including the Chair or Deputy Chair.</w:t>
      </w:r>
    </w:p>
    <w:p w14:paraId="5D2667EE" w14:textId="77777777" w:rsidR="00E331F4" w:rsidRPr="00E331F4" w:rsidRDefault="00E331F4" w:rsidP="0020054F">
      <w:pPr>
        <w:pStyle w:val="ListNumber"/>
      </w:pPr>
      <w:r w:rsidRPr="00E331F4">
        <w:t>The Partnership may also convene working groups as necessary to consider issues in depth. These working groups may co-opt or consult external experts in the field to inform their discussions and will report to the Partnership at the end of their deliberations.</w:t>
      </w:r>
    </w:p>
    <w:p w14:paraId="256DF05A" w14:textId="77777777" w:rsidR="00E331F4" w:rsidRPr="00E331F4" w:rsidRDefault="00E331F4" w:rsidP="0020054F">
      <w:pPr>
        <w:pStyle w:val="Heading2"/>
      </w:pPr>
      <w:r w:rsidRPr="00E331F4">
        <w:t>Secretariat</w:t>
      </w:r>
    </w:p>
    <w:p w14:paraId="05AA6CD6" w14:textId="77777777" w:rsidR="0020054F" w:rsidRDefault="00E331F4" w:rsidP="00E331F4">
      <w:pPr>
        <w:pStyle w:val="ListNumber"/>
      </w:pPr>
      <w:r w:rsidRPr="00E331F4">
        <w:t>The Partnership will be supported by the Department of the Prime Minister and Cabinet and the Department of Social Services.</w:t>
      </w:r>
    </w:p>
    <w:p w14:paraId="761E13CC" w14:textId="77777777" w:rsidR="0020054F" w:rsidRDefault="0020054F">
      <w:r>
        <w:br w:type="page"/>
      </w:r>
    </w:p>
    <w:p w14:paraId="7AEA72F1" w14:textId="77777777" w:rsidR="00E331F4" w:rsidRPr="00E331F4" w:rsidRDefault="00E464E1" w:rsidP="00E464E1">
      <w:pPr>
        <w:pStyle w:val="Heading1"/>
      </w:pPr>
      <w:bookmarkStart w:id="11" w:name="_Toc447200377"/>
      <w:r>
        <w:lastRenderedPageBreak/>
        <w:t xml:space="preserve">Appendix B: </w:t>
      </w:r>
      <w:r w:rsidR="00E331F4" w:rsidRPr="00E331F4">
        <w:t>Members’ biographies</w:t>
      </w:r>
      <w:bookmarkEnd w:id="11"/>
      <w:r w:rsidR="00E331F4" w:rsidRPr="00E331F4">
        <w:t> </w:t>
      </w:r>
    </w:p>
    <w:p w14:paraId="0F486EE1" w14:textId="77777777" w:rsidR="00E331F4" w:rsidRPr="00E331F4" w:rsidRDefault="00E331F4" w:rsidP="0020054F">
      <w:pPr>
        <w:pStyle w:val="Heading2"/>
      </w:pPr>
      <w:r w:rsidRPr="00E331F4">
        <w:t>The Hon Malcolm Turnbull MP</w:t>
      </w:r>
    </w:p>
    <w:p w14:paraId="68D273CB" w14:textId="77777777" w:rsidR="00E331F4" w:rsidRPr="00E331F4" w:rsidRDefault="00E331F4" w:rsidP="00E331F4">
      <w:pPr>
        <w:pStyle w:val="BodyText"/>
      </w:pPr>
      <w:r w:rsidRPr="00E331F4">
        <w:t>The Hon Malcolm Turnbull was elected to Federal Parliament as the Member for Wentworth in 2004.</w:t>
      </w:r>
    </w:p>
    <w:p w14:paraId="6CB12C94" w14:textId="77777777" w:rsidR="00E331F4" w:rsidRPr="00E331F4" w:rsidRDefault="00E331F4" w:rsidP="00E331F4">
      <w:pPr>
        <w:pStyle w:val="BodyText"/>
      </w:pPr>
      <w:r w:rsidRPr="00E331F4">
        <w:t>After graduating from Sydney University with degrees in Arts and Law, Mr Turnbull won a Rhodes scholarship and completed a further law degree at Oxford.</w:t>
      </w:r>
    </w:p>
    <w:p w14:paraId="640810F1" w14:textId="77777777" w:rsidR="00E331F4" w:rsidRPr="00E331F4" w:rsidRDefault="00E331F4" w:rsidP="00E331F4">
      <w:pPr>
        <w:pStyle w:val="BodyText"/>
      </w:pPr>
      <w:r w:rsidRPr="00E331F4">
        <w:t>During and after his studies, Mr Turnbull worked as a journalist. He began legal practice in 1980.</w:t>
      </w:r>
    </w:p>
    <w:p w14:paraId="247ECC0A" w14:textId="77777777" w:rsidR="00E331F4" w:rsidRPr="00E331F4" w:rsidRDefault="00E331F4" w:rsidP="00E331F4">
      <w:pPr>
        <w:pStyle w:val="BodyText"/>
      </w:pPr>
      <w:r w:rsidRPr="00E331F4">
        <w:t>In 1987 Mr Turnbull established his own investment banking firm and during that time co-founded a number of Australian companies.</w:t>
      </w:r>
    </w:p>
    <w:p w14:paraId="2F6650FC" w14:textId="77777777" w:rsidR="00E331F4" w:rsidRPr="00E331F4" w:rsidRDefault="00E331F4" w:rsidP="00E331F4">
      <w:pPr>
        <w:pStyle w:val="BodyText"/>
      </w:pPr>
      <w:r w:rsidRPr="00E331F4">
        <w:t>He was Chairman of the Australian Republican Movement from 1993 to 2000.</w:t>
      </w:r>
    </w:p>
    <w:p w14:paraId="033D939D" w14:textId="77777777" w:rsidR="00E331F4" w:rsidRPr="00E331F4" w:rsidRDefault="00E331F4" w:rsidP="00E331F4">
      <w:pPr>
        <w:pStyle w:val="BodyText"/>
      </w:pPr>
      <w:r w:rsidRPr="00E331F4">
        <w:t>On 6 December 2007, Mr Turnbull was appointed as Shadow Treasurer and following a leadership ballot in September 2008, he was elected by his colleagues to lead the Liberal Party as Leader of the Opposition, a position held until 1 December 2009.</w:t>
      </w:r>
    </w:p>
    <w:p w14:paraId="6C54AD1F" w14:textId="77777777" w:rsidR="00E331F4" w:rsidRPr="00E331F4" w:rsidRDefault="00E331F4" w:rsidP="00E331F4">
      <w:pPr>
        <w:pStyle w:val="BodyText"/>
      </w:pPr>
      <w:r w:rsidRPr="00E331F4">
        <w:t>He was the Minister for Communications from September 2013 to September 2015 and was elected the leader of the Liberal Party and Prime Minster on 14 September 2015.</w:t>
      </w:r>
    </w:p>
    <w:p w14:paraId="07827C39" w14:textId="77777777" w:rsidR="00E331F4" w:rsidRPr="00E331F4" w:rsidRDefault="00E331F4" w:rsidP="00E331F4">
      <w:pPr>
        <w:pStyle w:val="BodyText"/>
      </w:pPr>
      <w:r w:rsidRPr="00E331F4">
        <w:t>The Prime Minister and his wife, Lucy Turnbull AO, live in Sydney. They have two children and two grandchildren.</w:t>
      </w:r>
    </w:p>
    <w:p w14:paraId="33E447C9" w14:textId="77777777" w:rsidR="00E331F4" w:rsidRPr="00E331F4" w:rsidRDefault="00E331F4" w:rsidP="0020054F">
      <w:pPr>
        <w:pStyle w:val="Heading2"/>
      </w:pPr>
      <w:r w:rsidRPr="00E331F4">
        <w:t>The Hon Christian Porter MP</w:t>
      </w:r>
    </w:p>
    <w:p w14:paraId="57A2C2E2" w14:textId="77777777" w:rsidR="00E331F4" w:rsidRPr="00E331F4" w:rsidRDefault="00E331F4" w:rsidP="00E331F4">
      <w:pPr>
        <w:pStyle w:val="BodyText"/>
      </w:pPr>
      <w:r w:rsidRPr="00E331F4">
        <w:t>The Hon Christian Porter MP was sworn in as the Minister for Social Services on 21 September 2015, by the Governor General, His Excellency General the Honourable Sir Peter Cosgrove AK MC (</w:t>
      </w:r>
      <w:proofErr w:type="spellStart"/>
      <w:r w:rsidRPr="00E331F4">
        <w:t>Retd</w:t>
      </w:r>
      <w:proofErr w:type="spellEnd"/>
      <w:r w:rsidRPr="00E331F4">
        <w:t>).</w:t>
      </w:r>
    </w:p>
    <w:p w14:paraId="1A1B4247" w14:textId="77777777" w:rsidR="00E331F4" w:rsidRPr="00E331F4" w:rsidRDefault="00E331F4" w:rsidP="00E331F4">
      <w:pPr>
        <w:pStyle w:val="BodyText"/>
      </w:pPr>
      <w:r w:rsidRPr="00E331F4">
        <w:t>Prior to this position he was Parliamentary Secretary to the Prime Minister with a primary focus on the continuation of the Government’s red tape cutting agenda and the cyber security strategy.</w:t>
      </w:r>
    </w:p>
    <w:p w14:paraId="22CA6008" w14:textId="77777777" w:rsidR="00E331F4" w:rsidRPr="00E331F4" w:rsidRDefault="00E331F4" w:rsidP="00E331F4">
      <w:pPr>
        <w:pStyle w:val="BodyText"/>
      </w:pPr>
      <w:r w:rsidRPr="00E331F4">
        <w:t>Prior to winning the seat of Pearce at the 2013 Federal Election, Mr Porter served as a Minister in the State Government, variously holding portfolios of Attorney General, Minister for Corrective Services and Treasurer of Western Australia.</w:t>
      </w:r>
    </w:p>
    <w:p w14:paraId="48D2DC43" w14:textId="77777777" w:rsidR="00E331F4" w:rsidRPr="00E331F4" w:rsidRDefault="00E331F4" w:rsidP="00E331F4">
      <w:pPr>
        <w:pStyle w:val="BodyText"/>
      </w:pPr>
      <w:r w:rsidRPr="00E331F4">
        <w:t>As Attorney-General, Mr Porter managed a legislative agenda that decreased reported crime by 10 per cent in the State Government’s first year in office. As Treasurer, he delivered successive budget surpluses in Australia’s fastest growing economy and budgeted for the provision of $600 million to revitalise the Western Australian not-for-profit sector. He was also responsible for the largest infrastructure programme in the state’s history and was the architect of the $1 billion WA Future Fund.</w:t>
      </w:r>
    </w:p>
    <w:p w14:paraId="5C58C982" w14:textId="77777777" w:rsidR="00E331F4" w:rsidRPr="00E331F4" w:rsidRDefault="00E331F4" w:rsidP="00E331F4">
      <w:pPr>
        <w:pStyle w:val="BodyText"/>
      </w:pPr>
      <w:r w:rsidRPr="00E331F4">
        <w:t>Mr Porter holds a Bachelor of Economics, a Bachelor of Arts in Political Science and a Bachelor of Laws from the University of Western Australia, as well as a Master of Science (Political Theory) from the London School of Economics.</w:t>
      </w:r>
    </w:p>
    <w:p w14:paraId="553771E4" w14:textId="77777777" w:rsidR="00E331F4" w:rsidRPr="00E331F4" w:rsidRDefault="00E331F4" w:rsidP="00E331F4">
      <w:pPr>
        <w:pStyle w:val="BodyText"/>
      </w:pPr>
      <w:r w:rsidRPr="00E331F4">
        <w:t xml:space="preserve">Prior to politics, Mr Porter worked as a lawyer in both the commercial and government settings; beginning his career at Clayton </w:t>
      </w:r>
      <w:proofErr w:type="spellStart"/>
      <w:r w:rsidRPr="00E331F4">
        <w:t>Utz</w:t>
      </w:r>
      <w:proofErr w:type="spellEnd"/>
      <w:r w:rsidRPr="00E331F4">
        <w:t xml:space="preserve"> and then later working as a Senior State Prosecutor for the Director of Public Prosecutions Western Australia, where he prosecuted criminal trials for the state.</w:t>
      </w:r>
    </w:p>
    <w:p w14:paraId="4B1926B9" w14:textId="77777777" w:rsidR="00E331F4" w:rsidRPr="00E331F4" w:rsidRDefault="00E331F4" w:rsidP="00E331F4">
      <w:pPr>
        <w:pStyle w:val="BodyText"/>
      </w:pPr>
      <w:r w:rsidRPr="00E331F4">
        <w:t>Mr Porter has also lectured at Edith Cowan University and the University of Western Australia in law, public policy and economics. Immediately before entering Federal Parliament, he was the Professor of Law at Curtin University.</w:t>
      </w:r>
    </w:p>
    <w:p w14:paraId="1EEF5A74" w14:textId="77777777" w:rsidR="00E331F4" w:rsidRPr="00E331F4" w:rsidRDefault="00E331F4" w:rsidP="00E331F4">
      <w:pPr>
        <w:pStyle w:val="BodyText"/>
      </w:pPr>
      <w:r w:rsidRPr="00E331F4">
        <w:t>Mr Porter was born and raised in Western Australia and lives in Yanchep, in the northern part of the Pearce electorate, with his wife Jennifer and son Lachlan.</w:t>
      </w:r>
    </w:p>
    <w:p w14:paraId="5F6DE669" w14:textId="77777777" w:rsidR="00E331F4" w:rsidRPr="00E331F4" w:rsidRDefault="00E331F4" w:rsidP="0020054F">
      <w:pPr>
        <w:pStyle w:val="Heading2"/>
      </w:pPr>
      <w:r w:rsidRPr="00E331F4">
        <w:t>The Hon Dr Peter Hendy MP</w:t>
      </w:r>
    </w:p>
    <w:p w14:paraId="162D34EC" w14:textId="77777777" w:rsidR="00E331F4" w:rsidRPr="00E331F4" w:rsidRDefault="00E331F4" w:rsidP="00E331F4">
      <w:pPr>
        <w:pStyle w:val="BodyText"/>
      </w:pPr>
      <w:r w:rsidRPr="00E331F4">
        <w:t>The Hon Dr Peter Hendy, MP was elected to Parliament as the Federal Member representing Eden-Monaro in 2013.</w:t>
      </w:r>
    </w:p>
    <w:p w14:paraId="5F53EEFD" w14:textId="77777777" w:rsidR="00E331F4" w:rsidRPr="00E331F4" w:rsidRDefault="00E331F4" w:rsidP="00E331F4">
      <w:pPr>
        <w:pStyle w:val="BodyText"/>
      </w:pPr>
      <w:r w:rsidRPr="00E331F4">
        <w:t>Dr Hendy was appointed as the Assistant Minister for Productivity on 21 September 2015. His responsibilities include leading the Government’s regulatory reform agenda with a view to improving productivity across the entire Australian economy.</w:t>
      </w:r>
    </w:p>
    <w:p w14:paraId="32045506" w14:textId="77777777" w:rsidR="00E331F4" w:rsidRPr="00E331F4" w:rsidRDefault="00E331F4" w:rsidP="00E331F4">
      <w:pPr>
        <w:pStyle w:val="BodyText"/>
      </w:pPr>
      <w:r w:rsidRPr="00E331F4">
        <w:lastRenderedPageBreak/>
        <w:t>Dr Hendy is a highly accomplished economist that started his career as a cadet with the Federal Treasury, achieving a first-class honours degree. Since then he has worked as an economic consultant across many industries in both the private and public sectors.</w:t>
      </w:r>
    </w:p>
    <w:p w14:paraId="6B3E9D58" w14:textId="77777777" w:rsidR="00E331F4" w:rsidRPr="00E331F4" w:rsidRDefault="00E331F4" w:rsidP="00E331F4">
      <w:pPr>
        <w:pStyle w:val="BodyText"/>
      </w:pPr>
      <w:r w:rsidRPr="00E331F4">
        <w:t>His experience also includes having earned a PhD in Government while studying part-time, working overseas in an advising role, and successfully running his own small business.</w:t>
      </w:r>
    </w:p>
    <w:p w14:paraId="5C2734D3" w14:textId="77777777" w:rsidR="00E331F4" w:rsidRPr="00E331F4" w:rsidRDefault="00E331F4" w:rsidP="00E331F4">
      <w:pPr>
        <w:pStyle w:val="BodyText"/>
      </w:pPr>
      <w:r w:rsidRPr="00E331F4">
        <w:t>For six years, Dr Hendy was the Chief Executive of the Australian Chamber of Commerce and Industry, during which time he was awarded a Centenary Medal by the Governor-General for services to the business community.</w:t>
      </w:r>
    </w:p>
    <w:p w14:paraId="6722663B" w14:textId="77777777" w:rsidR="00E331F4" w:rsidRPr="00E331F4" w:rsidRDefault="00E331F4" w:rsidP="00E331F4">
      <w:pPr>
        <w:pStyle w:val="BodyText"/>
      </w:pPr>
      <w:r w:rsidRPr="00E331F4">
        <w:t>He has also been a director of Standards Australia, the International Chamber of Commerce (Australia), the Australian Institute of International Affairs, the Australian Made Campaign Limited, the National Business Action Fund, a governor of the National Institute of Labour Studies, Chairman of the Joint Policy Committee of the Confederation of Asia-Pacific Chambers of Commerce and Industry, and the Australian representative on the Business and Industry Advisory Committee (BIAC) of the OECD.</w:t>
      </w:r>
    </w:p>
    <w:p w14:paraId="2DB8CEA2" w14:textId="77777777" w:rsidR="00E331F4" w:rsidRPr="00E331F4" w:rsidRDefault="00E331F4" w:rsidP="00E331F4">
      <w:pPr>
        <w:pStyle w:val="BodyText"/>
      </w:pPr>
      <w:r w:rsidRPr="00E331F4">
        <w:t>Dr Hendy has a broad range of experience at the highest levels of policy-making in Australia. He has been Chief of Staff to the Leader of the Federal Opposition, Chief of Staff to the Minister for Defence; Minister for Employment, Workplace Relations and Small Business; and for Minister for Education, Science and Training.</w:t>
      </w:r>
    </w:p>
    <w:p w14:paraId="25DBF797" w14:textId="77777777" w:rsidR="00E331F4" w:rsidRPr="00E331F4" w:rsidRDefault="00E331F4" w:rsidP="00E331F4">
      <w:pPr>
        <w:pStyle w:val="BodyText"/>
      </w:pPr>
      <w:r w:rsidRPr="00E331F4">
        <w:t>For 15 years he has lived in Queanbeyan with his wife Bronwyn, and has two children.</w:t>
      </w:r>
    </w:p>
    <w:p w14:paraId="02B6346D" w14:textId="77777777" w:rsidR="00E331F4" w:rsidRPr="00E331F4" w:rsidRDefault="00E331F4" w:rsidP="0020054F">
      <w:pPr>
        <w:pStyle w:val="Heading2"/>
      </w:pPr>
      <w:r w:rsidRPr="00E331F4">
        <w:t>Ms Alexandra Gartmann</w:t>
      </w:r>
    </w:p>
    <w:p w14:paraId="2305E189" w14:textId="77777777" w:rsidR="00E331F4" w:rsidRPr="00E331F4" w:rsidRDefault="00E331F4" w:rsidP="00E331F4">
      <w:pPr>
        <w:pStyle w:val="BodyText"/>
      </w:pPr>
      <w:r w:rsidRPr="00E331F4">
        <w:t>Alexandra Gartmann is MD and CEO of Rural Bank, a subsidiary of Bendigo and Adelaide Bank Limited and a dedicated rural and agribusiness bank. Between 2011 and 2015, she was CEO of the Foundation for Rural and Regional Renewal, a national philanthropic organisation supporting rural, regional and remote Australian communities through partnerships with philanthropic, government and private organisations. </w:t>
      </w:r>
    </w:p>
    <w:p w14:paraId="33AA177E" w14:textId="77777777" w:rsidR="00E331F4" w:rsidRPr="00E331F4" w:rsidRDefault="00E331F4" w:rsidP="00E331F4">
      <w:pPr>
        <w:pStyle w:val="BodyText"/>
      </w:pPr>
      <w:r w:rsidRPr="00E331F4">
        <w:t>Between 2001 and 2011, Ms Gartmann was CEO of the community not for profit Birchip Cropping Group in Victoria. She has been a member of the Victorian Government Flood Appeal Committee, Deputy Chair of the Women in Primary Industries Advisory Panel, member of the National Rural Advisory Council and remains Chair of CSIRO Agriculture Advisory Council and member of the Victorian Agricultural Advisory Committee.</w:t>
      </w:r>
    </w:p>
    <w:p w14:paraId="1F541BA3" w14:textId="77777777" w:rsidR="00E331F4" w:rsidRPr="00E331F4" w:rsidRDefault="00E331F4" w:rsidP="0020054F">
      <w:pPr>
        <w:pStyle w:val="Heading2"/>
      </w:pPr>
      <w:r w:rsidRPr="00E331F4">
        <w:t>Ms Angela Perry</w:t>
      </w:r>
    </w:p>
    <w:p w14:paraId="78B4EE0A" w14:textId="77777777" w:rsidR="00E331F4" w:rsidRPr="00E331F4" w:rsidRDefault="00E331F4" w:rsidP="00E331F4">
      <w:pPr>
        <w:pStyle w:val="BodyText"/>
      </w:pPr>
      <w:r w:rsidRPr="00E331F4">
        <w:t xml:space="preserve">Angela Perry is a qualified Barrister and solicitor and is the CEO and Founder of Future Foundations Limited. This charity engages mentors from business and creative sectors with disadvantaged children in rural and linguistically diverse communities. Ms Perry is also a member of the Public Services </w:t>
      </w:r>
      <w:proofErr w:type="spellStart"/>
      <w:r w:rsidRPr="00E331F4">
        <w:t>Mutuals</w:t>
      </w:r>
      <w:proofErr w:type="spellEnd"/>
      <w:r w:rsidRPr="00E331F4">
        <w:t xml:space="preserve"> Task Force, launched in January 2014 by the Business Council of Co-operatives and </w:t>
      </w:r>
      <w:proofErr w:type="spellStart"/>
      <w:r w:rsidRPr="00E331F4">
        <w:t>Mutuals</w:t>
      </w:r>
      <w:proofErr w:type="spellEnd"/>
      <w:r w:rsidRPr="00E331F4">
        <w:t>.</w:t>
      </w:r>
    </w:p>
    <w:p w14:paraId="501CEDD1" w14:textId="77777777" w:rsidR="00E331F4" w:rsidRPr="00E331F4" w:rsidRDefault="00E331F4" w:rsidP="00E331F4">
      <w:pPr>
        <w:pStyle w:val="BodyText"/>
      </w:pPr>
      <w:r w:rsidRPr="00E331F4">
        <w:t>Ms Perry was previously the Global Head of Business Development Equity Plan Solutions and Executive Client Partnerships for financial services company, the Link Group. She assisted with establishing the charitable giving and volunteering arm of the Victorian branch of the Link Group and worked with the community and businesses to build innovation and capacity.</w:t>
      </w:r>
    </w:p>
    <w:p w14:paraId="00DC5242" w14:textId="77777777" w:rsidR="00E331F4" w:rsidRPr="00E331F4" w:rsidRDefault="00E331F4" w:rsidP="00E331F4">
      <w:pPr>
        <w:pStyle w:val="BodyText"/>
      </w:pPr>
      <w:r w:rsidRPr="00E331F4">
        <w:t>Ms Perry has spent many years volunteering in various roles, including teaching English to newly arrived immigrants.</w:t>
      </w:r>
    </w:p>
    <w:p w14:paraId="1F4C4D99" w14:textId="77777777" w:rsidR="00E331F4" w:rsidRPr="00E331F4" w:rsidRDefault="00E331F4" w:rsidP="0020054F">
      <w:pPr>
        <w:pStyle w:val="Heading2"/>
      </w:pPr>
      <w:r w:rsidRPr="00E331F4">
        <w:t>Mr Ben Gales</w:t>
      </w:r>
    </w:p>
    <w:p w14:paraId="4D49B316" w14:textId="77777777" w:rsidR="00E331F4" w:rsidRPr="00E331F4" w:rsidRDefault="00E331F4" w:rsidP="00E331F4">
      <w:pPr>
        <w:pStyle w:val="BodyText"/>
      </w:pPr>
      <w:r w:rsidRPr="00E331F4">
        <w:t>Ben Gales is the CEO of Social Enterprise Finance Australia. Mr Gales has a background in social and economic policy development and innovation, and commercial investment. He was involved in developing Social Benefit Bonds for the New South Wales Government during his time at the Department of Family and Community Services and the New South Wales Treasury.</w:t>
      </w:r>
    </w:p>
    <w:p w14:paraId="1F68236E" w14:textId="77777777" w:rsidR="00E331F4" w:rsidRPr="00E331F4" w:rsidRDefault="00E331F4" w:rsidP="00E331F4">
      <w:pPr>
        <w:pStyle w:val="BodyText"/>
      </w:pPr>
      <w:r w:rsidRPr="00E331F4">
        <w:t>In his role in Her Majesty’s Treasury in the United Kingdom, Mr Gales helped establish the Phoenix Fund to promote enterprise in disadvantaged communities. Mr Gales spent eight years as a venture capitalist. He worked for private equity group 3i Group plc in the United Kingdom and United States and was on the group’s Corporate Social Responsibility committee. Mr Gales studied Economics at Cambridge University and completed a Masters in Economics at the London School of Economics and Political Science.</w:t>
      </w:r>
    </w:p>
    <w:p w14:paraId="7923F93E" w14:textId="77777777" w:rsidR="00E331F4" w:rsidRPr="00E331F4" w:rsidRDefault="00E331F4" w:rsidP="0020054F">
      <w:pPr>
        <w:pStyle w:val="Heading2"/>
      </w:pPr>
      <w:r w:rsidRPr="00E331F4">
        <w:lastRenderedPageBreak/>
        <w:t>Ms Colleen McGann</w:t>
      </w:r>
    </w:p>
    <w:p w14:paraId="741DA7E5" w14:textId="77777777" w:rsidR="00E331F4" w:rsidRPr="00E331F4" w:rsidRDefault="00E331F4" w:rsidP="00E331F4">
      <w:pPr>
        <w:pStyle w:val="BodyText"/>
      </w:pPr>
      <w:r w:rsidRPr="00E331F4">
        <w:t>Colleen McGann has had extensive board experience and more than 50 years’ experience in the health industry. From 2000 to 2013, Ms McGann was Managing Director of St Luke’s Health Fund, where she started as a Junior Office Clerk in 1962. For 18 years, Ms McGann was also actively involved with the management of St Luke’s Private Hospital, Tasmania, holding the position of Managing Director from 2000 to 2004.</w:t>
      </w:r>
    </w:p>
    <w:p w14:paraId="30BEFD72" w14:textId="77777777" w:rsidR="00E331F4" w:rsidRPr="00E331F4" w:rsidRDefault="00E331F4" w:rsidP="00E331F4">
      <w:pPr>
        <w:pStyle w:val="BodyText"/>
      </w:pPr>
      <w:r w:rsidRPr="00E331F4">
        <w:t>Ms McGann was the first woman elected Vice President of the industry body, Private Healthcare Australia. She has also held other leadership roles in the health industry including as the Chair of the Australian Regional Health Group.</w:t>
      </w:r>
    </w:p>
    <w:p w14:paraId="2A0DBEA1" w14:textId="77777777" w:rsidR="00E331F4" w:rsidRPr="00E331F4" w:rsidRDefault="00E331F4" w:rsidP="00E331F4">
      <w:pPr>
        <w:pStyle w:val="BodyText"/>
      </w:pPr>
      <w:r w:rsidRPr="00E331F4">
        <w:t>As an active member of the business community, Ms McGann is a Fellow of the Australian Institute of Company Directors and the Australian Institute of Management. In recognition of her success in business, Ms McGann received the Telstra Business Woman of the Year Award (Tasmania) in 2002.</w:t>
      </w:r>
    </w:p>
    <w:p w14:paraId="6C56F383" w14:textId="77777777" w:rsidR="00E331F4" w:rsidRPr="00E331F4" w:rsidRDefault="00E331F4" w:rsidP="0020054F">
      <w:pPr>
        <w:pStyle w:val="Heading2"/>
      </w:pPr>
      <w:r w:rsidRPr="00E331F4">
        <w:t>The Hon Dr Gary Johns</w:t>
      </w:r>
    </w:p>
    <w:p w14:paraId="5EC8DE4D" w14:textId="77777777" w:rsidR="00E331F4" w:rsidRPr="00E331F4" w:rsidRDefault="00E331F4" w:rsidP="00E331F4">
      <w:pPr>
        <w:pStyle w:val="BodyText"/>
      </w:pPr>
      <w:r w:rsidRPr="00E331F4">
        <w:t xml:space="preserve">The Hon Dr Gary Johns is a columnist for The Australian newspaper and is a Director of the Australian Institute for Progress. Dr Johns is also a founding Director of </w:t>
      </w:r>
      <w:proofErr w:type="spellStart"/>
      <w:r w:rsidRPr="00E331F4">
        <w:t>DonorInform</w:t>
      </w:r>
      <w:proofErr w:type="spellEnd"/>
      <w:r w:rsidRPr="00E331F4">
        <w:t xml:space="preserve"> Limited, a not-for-profit company established to promote better access to charity performance data.</w:t>
      </w:r>
    </w:p>
    <w:p w14:paraId="5B051799" w14:textId="77777777" w:rsidR="00E331F4" w:rsidRPr="00E331F4" w:rsidRDefault="00E331F4" w:rsidP="00E331F4">
      <w:pPr>
        <w:pStyle w:val="BodyText"/>
      </w:pPr>
      <w:r w:rsidRPr="00E331F4">
        <w:t xml:space="preserve">As a prominent figure in Australian politics, Dr Johns was the Federal </w:t>
      </w:r>
      <w:proofErr w:type="spellStart"/>
      <w:r w:rsidRPr="00E331F4">
        <w:t>Labor</w:t>
      </w:r>
      <w:proofErr w:type="spellEnd"/>
      <w:r w:rsidRPr="00E331F4">
        <w:t xml:space="preserve"> member for Petrie, Queensland, from 1987 to 1996. He held several roles in government including Parliamentary Secretary to the Treasurer, Parliamentary Secretary to the Deputy Prime Minister, Assistant Minister for Industrial Relations and Special Minister of State. From 2002 to 2004 Dr Johns was an Associate Commissioner of the Productivity Commission.</w:t>
      </w:r>
    </w:p>
    <w:p w14:paraId="6D672A70" w14:textId="77777777" w:rsidR="00E331F4" w:rsidRPr="00E331F4" w:rsidRDefault="00E331F4" w:rsidP="00E331F4">
      <w:pPr>
        <w:pStyle w:val="BodyText"/>
      </w:pPr>
      <w:r w:rsidRPr="00E331F4">
        <w:t>Dr Johns is a published author of several books including The Charity Ball: How to Dance to the Donor’s Tune.</w:t>
      </w:r>
    </w:p>
    <w:p w14:paraId="29D3ED12" w14:textId="77777777" w:rsidR="00E331F4" w:rsidRPr="00E331F4" w:rsidRDefault="00E331F4" w:rsidP="0020054F">
      <w:pPr>
        <w:pStyle w:val="Heading2"/>
      </w:pPr>
      <w:r w:rsidRPr="00E331F4">
        <w:t>Mr Kevin Bailey</w:t>
      </w:r>
    </w:p>
    <w:p w14:paraId="423A920C" w14:textId="77777777" w:rsidR="00E331F4" w:rsidRPr="00E331F4" w:rsidRDefault="00E331F4" w:rsidP="00E331F4">
      <w:pPr>
        <w:pStyle w:val="BodyText"/>
      </w:pPr>
      <w:r w:rsidRPr="00E331F4">
        <w:t xml:space="preserve">Kevin Bailey recently retired after working as a Certified Financial Planner for more than 20 years. Mr Bailey was a founding Director of the </w:t>
      </w:r>
      <w:proofErr w:type="spellStart"/>
      <w:r w:rsidRPr="00E331F4">
        <w:t>Shadforth</w:t>
      </w:r>
      <w:proofErr w:type="spellEnd"/>
      <w:r w:rsidRPr="00E331F4">
        <w:t xml:space="preserve"> Financial Group and headed up its Philanthropic Services division.</w:t>
      </w:r>
    </w:p>
    <w:p w14:paraId="5C01AD46" w14:textId="77777777" w:rsidR="00E331F4" w:rsidRPr="00E331F4" w:rsidRDefault="00E331F4" w:rsidP="00E331F4">
      <w:pPr>
        <w:pStyle w:val="BodyText"/>
      </w:pPr>
      <w:r w:rsidRPr="00E331F4">
        <w:t>With a long-held commitment to the philanthropic sector, Mr Bailey established and managed a Private Ancillary Fund for 10 years. He is also a patron of Future2 Foundation, the charity of the financial services industry.</w:t>
      </w:r>
    </w:p>
    <w:p w14:paraId="47614B3E" w14:textId="77777777" w:rsidR="00E331F4" w:rsidRPr="00E331F4" w:rsidRDefault="00E331F4" w:rsidP="00E331F4">
      <w:pPr>
        <w:pStyle w:val="BodyText"/>
      </w:pPr>
      <w:r w:rsidRPr="00E331F4">
        <w:t xml:space="preserve">As a Director of G7+ Foundation Incorporated, Mr Bailey is continuing his work in foreign aid. He previously held the position of Honorary Consul-General of Timor </w:t>
      </w:r>
      <w:proofErr w:type="spellStart"/>
      <w:r w:rsidRPr="00E331F4">
        <w:t>Leste</w:t>
      </w:r>
      <w:proofErr w:type="spellEnd"/>
      <w:r w:rsidRPr="00E331F4">
        <w:t xml:space="preserve"> in Victoria from 2002 to 2013.</w:t>
      </w:r>
    </w:p>
    <w:p w14:paraId="7A906A2D" w14:textId="77777777" w:rsidR="00E331F4" w:rsidRPr="00E331F4" w:rsidRDefault="00E331F4" w:rsidP="00E331F4">
      <w:pPr>
        <w:pStyle w:val="BodyText"/>
      </w:pPr>
      <w:r w:rsidRPr="00E331F4">
        <w:t>Mr Bailey has been a member of many government boards, including the National Advisory Committee on Ageing and the Australian Securities and Investments Commission Industry Liaison Committee. He has also held positions on philanthropic boards, including the Council of Opportunity International Australia and has been a member of Philanthropy Australia.</w:t>
      </w:r>
    </w:p>
    <w:p w14:paraId="11464CB1" w14:textId="77777777" w:rsidR="00E331F4" w:rsidRPr="00E331F4" w:rsidRDefault="00E331F4" w:rsidP="0020054F">
      <w:pPr>
        <w:pStyle w:val="Heading2"/>
      </w:pPr>
      <w:r w:rsidRPr="00E331F4">
        <w:t>Ms Melanie Cooper</w:t>
      </w:r>
    </w:p>
    <w:p w14:paraId="50F8DE05" w14:textId="77777777" w:rsidR="00E331F4" w:rsidRPr="00E331F4" w:rsidRDefault="00E331F4" w:rsidP="00E331F4">
      <w:pPr>
        <w:pStyle w:val="BodyText"/>
      </w:pPr>
      <w:r w:rsidRPr="00E331F4">
        <w:t>Melanie Cooper is the Director of Finance and Corporate Affairs and Company Secretary of the Coopers Brewery Ltd.</w:t>
      </w:r>
    </w:p>
    <w:p w14:paraId="766A36BC" w14:textId="77777777" w:rsidR="00E331F4" w:rsidRPr="00E331F4" w:rsidRDefault="00E331F4" w:rsidP="00E331F4">
      <w:pPr>
        <w:pStyle w:val="BodyText"/>
      </w:pPr>
      <w:r w:rsidRPr="00E331F4">
        <w:t>Ms Cooper joined Coopers Brewery in 1985, held the position of Company Secretary from 1990 to 1993, Director in 2009 and Company Secretary again from 2010.</w:t>
      </w:r>
    </w:p>
    <w:p w14:paraId="63C2D117" w14:textId="77777777" w:rsidR="00E331F4" w:rsidRPr="00E331F4" w:rsidRDefault="00E331F4" w:rsidP="00E331F4">
      <w:pPr>
        <w:pStyle w:val="BodyText"/>
      </w:pPr>
      <w:r w:rsidRPr="00E331F4">
        <w:t>Ms Cooper is a founding Governor of the Coopers Brewery Foundation established in 2006, and has been the Foundation Chair since 2011. Ms Cooper also spent four years working as a Chartered Accountant at PricewaterhouseCoopers. She sits on a number of boards including the Burnside War Memorial Hospital Foundation, the Neurosurgical Research Foundation and J and AG Johnston.</w:t>
      </w:r>
    </w:p>
    <w:p w14:paraId="43DC56DE" w14:textId="77777777" w:rsidR="00E331F4" w:rsidRPr="00E331F4" w:rsidRDefault="00E331F4" w:rsidP="0020054F">
      <w:pPr>
        <w:pStyle w:val="Heading2"/>
      </w:pPr>
      <w:r w:rsidRPr="00E331F4">
        <w:t>Ms Nicola Forrest</w:t>
      </w:r>
    </w:p>
    <w:p w14:paraId="76FD519F" w14:textId="77777777" w:rsidR="00E331F4" w:rsidRPr="00E331F4" w:rsidRDefault="00E331F4" w:rsidP="00E331F4">
      <w:pPr>
        <w:pStyle w:val="BodyText"/>
      </w:pPr>
      <w:r w:rsidRPr="00E331F4">
        <w:t xml:space="preserve">Nicola Forrest is the CEO of the </w:t>
      </w:r>
      <w:proofErr w:type="spellStart"/>
      <w:r w:rsidRPr="00E331F4">
        <w:t>Minderoo</w:t>
      </w:r>
      <w:proofErr w:type="spellEnd"/>
      <w:r w:rsidRPr="00E331F4">
        <w:t xml:space="preserve"> Foundation, one of Australia’s largest philanthropic organisations. Ms Forrest has helped lead the diversification of the Foundation to provide a holistic approach to community development, particularly through education and the arts, believing an integrated approach is essential to build sustainable empowerment in individuals and communities. </w:t>
      </w:r>
    </w:p>
    <w:p w14:paraId="6F312BD5" w14:textId="77777777" w:rsidR="00E331F4" w:rsidRPr="00E331F4" w:rsidRDefault="00E331F4" w:rsidP="00E331F4">
      <w:pPr>
        <w:pStyle w:val="BodyText"/>
      </w:pPr>
      <w:r w:rsidRPr="00E331F4">
        <w:lastRenderedPageBreak/>
        <w:t>In September 2015 Ms Forrest was awarded the University of Canberra’s Chancellor’s Award for Services and Philanthropy. In 2014 Ms Forrest was the Western Australian of the Year in the Community category and in September 2014 she received an honorary doctor of letters from the University of Western Australia. Ms Forrest is Patron for Sculpture by the Sea, the Kimberley Rock Art Foundation and Impact100 WA. She is also a Director of the Black Swan Theatre Company.</w:t>
      </w:r>
    </w:p>
    <w:p w14:paraId="4C6B79F2" w14:textId="77777777" w:rsidR="00E331F4" w:rsidRPr="00E331F4" w:rsidRDefault="00E331F4" w:rsidP="00E331F4">
      <w:pPr>
        <w:pStyle w:val="BodyText"/>
      </w:pPr>
      <w:r w:rsidRPr="00E331F4">
        <w:t xml:space="preserve">Along with Ms Forrest’s philanthropic work she is also a director of the </w:t>
      </w:r>
      <w:proofErr w:type="spellStart"/>
      <w:r w:rsidRPr="00E331F4">
        <w:t>Minderoo</w:t>
      </w:r>
      <w:proofErr w:type="spellEnd"/>
      <w:r w:rsidRPr="00E331F4">
        <w:t xml:space="preserve"> Group, one of Australia’s largest private companies and Managing Director of </w:t>
      </w:r>
      <w:proofErr w:type="spellStart"/>
      <w:r w:rsidRPr="00E331F4">
        <w:t>Minderoo</w:t>
      </w:r>
      <w:proofErr w:type="spellEnd"/>
      <w:r w:rsidRPr="00E331F4">
        <w:t xml:space="preserve"> Station.</w:t>
      </w:r>
    </w:p>
    <w:p w14:paraId="52322496" w14:textId="77777777" w:rsidR="00E331F4" w:rsidRPr="00E331F4" w:rsidRDefault="00E331F4" w:rsidP="0020054F">
      <w:pPr>
        <w:pStyle w:val="Heading2"/>
      </w:pPr>
      <w:r w:rsidRPr="00E331F4">
        <w:t>Mr Peter Scott</w:t>
      </w:r>
    </w:p>
    <w:p w14:paraId="68B26901" w14:textId="77777777" w:rsidR="00E331F4" w:rsidRPr="00E331F4" w:rsidRDefault="00E331F4" w:rsidP="00E331F4">
      <w:pPr>
        <w:pStyle w:val="BodyText"/>
      </w:pPr>
      <w:r w:rsidRPr="00E331F4">
        <w:t>Peter Scott is Chairman of Perpetual Limited, a financial services group. He has over 20 years’ senior business experience in publicly listed companies and extensive knowledge of the wealth management industry.</w:t>
      </w:r>
    </w:p>
    <w:p w14:paraId="1F733564" w14:textId="77777777" w:rsidR="00E331F4" w:rsidRPr="00E331F4" w:rsidRDefault="00E331F4" w:rsidP="00E331F4">
      <w:pPr>
        <w:pStyle w:val="BodyText"/>
      </w:pPr>
      <w:r w:rsidRPr="00E331F4">
        <w:t>Mr Scott sits on a number of boards, including Stockland Corporation Limited and social change charity organisation, Igniting Change. He has held senior executive roles in the property and financial services industry and is an Honorary Fellow of the Institution of Civil Engineers Australia. He is also a member of the Australian Institute of Company Directors. </w:t>
      </w:r>
    </w:p>
    <w:p w14:paraId="21D3F1A1" w14:textId="77777777" w:rsidR="00E331F4" w:rsidRPr="00E331F4" w:rsidRDefault="00E331F4" w:rsidP="0020054F">
      <w:pPr>
        <w:pStyle w:val="Heading2"/>
      </w:pPr>
      <w:r w:rsidRPr="00E331F4">
        <w:t>Mr Peter Treseder AM</w:t>
      </w:r>
    </w:p>
    <w:p w14:paraId="5AE97F15" w14:textId="77777777" w:rsidR="00E331F4" w:rsidRPr="00E331F4" w:rsidRDefault="00E331F4" w:rsidP="00E331F4">
      <w:pPr>
        <w:pStyle w:val="BodyText"/>
      </w:pPr>
      <w:r w:rsidRPr="00E331F4">
        <w:t>Peter Treseder AM is currently the CEO of Royal Brisbane and Women’s Hospital Foundation. He has led a variety of not-for-profit organisations for over a decade. Before that, Mr Treseder gained over 20 years’ management experience with the Commonwealth Bank of Australia.</w:t>
      </w:r>
    </w:p>
    <w:p w14:paraId="4ABD416A" w14:textId="77777777" w:rsidR="00E331F4" w:rsidRPr="00E331F4" w:rsidRDefault="00E331F4" w:rsidP="00E331F4">
      <w:pPr>
        <w:pStyle w:val="BodyText"/>
      </w:pPr>
      <w:r w:rsidRPr="00E331F4">
        <w:t xml:space="preserve">Mr Treseder has a wealth of board and committee experience. Recent appointments include the Brisbane City Council’s Asset Optimisation Committee, the Patricia Dukes Foundation and The Sovereign Wealth Fund Committee. In recognition of Mr </w:t>
      </w:r>
      <w:proofErr w:type="spellStart"/>
      <w:r w:rsidRPr="00E331F4">
        <w:t>Treseder’s</w:t>
      </w:r>
      <w:proofErr w:type="spellEnd"/>
      <w:r w:rsidRPr="00E331F4">
        <w:t xml:space="preserve"> outstanding contribution to the Australian community, he is a Member of the Order of Australia, a Knight of Grace in the Sovereign Order of St. John of Jerusalem and was a recipient of the Bicentennial Medal.</w:t>
      </w:r>
    </w:p>
    <w:p w14:paraId="598351DA" w14:textId="77777777" w:rsidR="00E331F4" w:rsidRPr="00E331F4" w:rsidRDefault="00E331F4" w:rsidP="00E331F4">
      <w:pPr>
        <w:pStyle w:val="BodyText"/>
      </w:pPr>
      <w:r w:rsidRPr="00E331F4">
        <w:t>Mr Treseder is an Executive Member of Fundraising Institute Australia.</w:t>
      </w:r>
    </w:p>
    <w:p w14:paraId="1DE809F0" w14:textId="77777777" w:rsidR="00E331F4" w:rsidRPr="00E331F4" w:rsidRDefault="00E331F4" w:rsidP="0020054F">
      <w:pPr>
        <w:pStyle w:val="Heading2"/>
      </w:pPr>
      <w:r w:rsidRPr="00E331F4">
        <w:t>The Hon Tim Fischer AC</w:t>
      </w:r>
    </w:p>
    <w:p w14:paraId="69D20BAF" w14:textId="77777777" w:rsidR="00E331F4" w:rsidRPr="00E331F4" w:rsidRDefault="00E331F4" w:rsidP="00E331F4">
      <w:pPr>
        <w:pStyle w:val="BodyText"/>
      </w:pPr>
      <w:r w:rsidRPr="00E331F4">
        <w:t>Tim Fischer served in the New South Wales Parliament from 1971 to 1984 and the Australian Federal Parliament from 1984 to 2001. He was Leader of the National Party from 1990 to 2001 and Deputy Prime Minister and Minister for Trade from 1996 to 1999.</w:t>
      </w:r>
    </w:p>
    <w:p w14:paraId="3A172E10" w14:textId="77777777" w:rsidR="00E331F4" w:rsidRPr="00E331F4" w:rsidRDefault="00E331F4" w:rsidP="00E331F4">
      <w:pPr>
        <w:pStyle w:val="BodyText"/>
      </w:pPr>
      <w:r w:rsidRPr="00E331F4">
        <w:t>Mr Fischer is actively involved in charity work and has held senior positions in various charitable organisations, including the Royal Flying Doctor Service. In 2005, Mr Fischer was awarded the Companion of the Order of Australia for his political, philanthropic and humanitarian work. Mr Fischer has most recently served as the Australian Ambassador to the Holy See from 2008 to 2012 and also served as Special Envoy to Bhutan, Eritrea and South Sudan.</w:t>
      </w:r>
    </w:p>
    <w:p w14:paraId="264EEE76" w14:textId="77777777" w:rsidR="00E331F4" w:rsidRPr="00E331F4" w:rsidRDefault="00E331F4" w:rsidP="0020054F">
      <w:pPr>
        <w:pStyle w:val="Heading2"/>
      </w:pPr>
      <w:r w:rsidRPr="00E331F4">
        <w:t>Mr Tony Stuart</w:t>
      </w:r>
    </w:p>
    <w:p w14:paraId="3D1EE5C1" w14:textId="77777777" w:rsidR="00E331F4" w:rsidRPr="00E331F4" w:rsidRDefault="00E331F4" w:rsidP="00E331F4">
      <w:pPr>
        <w:pStyle w:val="BodyText"/>
      </w:pPr>
      <w:r w:rsidRPr="00E331F4">
        <w:t>Tony Stuart is the former Group CEO of National Roads and Motorists Association (NRMA). Mr Stuart started with the NRMA in 2003, expanding it from a motoring provider into a successful group of motoring, travel and lifestyle businesses.</w:t>
      </w:r>
    </w:p>
    <w:p w14:paraId="6561027D" w14:textId="77777777" w:rsidR="00E331F4" w:rsidRPr="00E331F4" w:rsidRDefault="00E331F4" w:rsidP="00E331F4">
      <w:pPr>
        <w:pStyle w:val="BodyText"/>
      </w:pPr>
      <w:r w:rsidRPr="00E331F4">
        <w:t xml:space="preserve">In his former role as CEO Sydney Airports Corporation Limited, Mr Stuart’s mandate was to </w:t>
      </w:r>
      <w:proofErr w:type="spellStart"/>
      <w:r w:rsidRPr="00E331F4">
        <w:t>corporatise</w:t>
      </w:r>
      <w:proofErr w:type="spellEnd"/>
      <w:r w:rsidRPr="00E331F4">
        <w:t xml:space="preserve"> and privatise the airport while overseeing a major infrastructure redevelopment programme in the lead up to the Sydney 2000 Olympics. He has 20 years corporate experience in marketing, financial services and executive roles.</w:t>
      </w:r>
    </w:p>
    <w:p w14:paraId="55A96C65" w14:textId="77777777" w:rsidR="00E331F4" w:rsidRPr="00E331F4" w:rsidRDefault="00E331F4" w:rsidP="00E331F4">
      <w:pPr>
        <w:pStyle w:val="BodyText"/>
      </w:pPr>
      <w:r w:rsidRPr="00E331F4">
        <w:t xml:space="preserve">Mr Stuart is involved in a broad range of community activities including membership on the national board of the Starlight Children’s Foundation, the Executive of the Committee for Sydney and the Board of Directors of the Business Council of Co-operatives and </w:t>
      </w:r>
      <w:proofErr w:type="spellStart"/>
      <w:r w:rsidRPr="00E331F4">
        <w:t>Mutuals</w:t>
      </w:r>
      <w:proofErr w:type="spellEnd"/>
      <w:r w:rsidRPr="00E331F4">
        <w:t>.</w:t>
      </w:r>
    </w:p>
    <w:p w14:paraId="5FB0499D" w14:textId="77777777" w:rsidR="00E331F4" w:rsidRPr="00E331F4" w:rsidRDefault="00E331F4" w:rsidP="00E331F4">
      <w:pPr>
        <w:pStyle w:val="BodyText"/>
      </w:pPr>
      <w:r w:rsidRPr="00E331F4">
        <w:t xml:space="preserve">Previously Mr Stuart was a Director of the Heart Research Institute of Australia and on the Advisory Board of the St Vincent de Paul CEO </w:t>
      </w:r>
      <w:proofErr w:type="spellStart"/>
      <w:r w:rsidRPr="00E331F4">
        <w:t>Sleepout</w:t>
      </w:r>
      <w:proofErr w:type="spellEnd"/>
      <w:r w:rsidRPr="00E331F4">
        <w:t>.</w:t>
      </w:r>
    </w:p>
    <w:p w14:paraId="0904ED98" w14:textId="77777777" w:rsidR="00E331F4" w:rsidRPr="00E331F4" w:rsidRDefault="00E331F4" w:rsidP="00E331F4">
      <w:pPr>
        <w:pStyle w:val="BodyText"/>
      </w:pPr>
      <w:r w:rsidRPr="00E331F4">
        <w:lastRenderedPageBreak/>
        <w:t>He is a Fellow of the Australian Institute of Company Directors and a Fellow of the Australian Institute of Management.</w:t>
      </w:r>
    </w:p>
    <w:p w14:paraId="1D1BA6BB" w14:textId="77777777" w:rsidR="00E331F4" w:rsidRPr="00E331F4" w:rsidRDefault="00E331F4" w:rsidP="00E331F4">
      <w:pPr>
        <w:pStyle w:val="BodyText"/>
      </w:pPr>
      <w:r w:rsidRPr="00E331F4">
        <w:t>&lt;</w:t>
      </w:r>
      <w:hyperlink r:id="rId13" w:history="1">
        <w:r w:rsidRPr="00E331F4">
          <w:rPr>
            <w:rStyle w:val="Hyperlink"/>
          </w:rPr>
          <w:t>www.communitybusinesspartnership.gov.au</w:t>
        </w:r>
      </w:hyperlink>
      <w:r w:rsidRPr="00E331F4">
        <w:t>&gt;</w:t>
      </w:r>
    </w:p>
    <w:sectPr w:rsidR="00E331F4" w:rsidRPr="00E331F4" w:rsidSect="002F4EBA">
      <w:pgSz w:w="11906" w:h="16838" w:code="9"/>
      <w:pgMar w:top="851" w:right="851" w:bottom="851" w:left="851" w:header="680"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CCCB07" w14:textId="77777777" w:rsidR="00E76738" w:rsidRPr="00B90C60" w:rsidRDefault="00E76738" w:rsidP="00B90C60">
      <w:r>
        <w:separator/>
      </w:r>
    </w:p>
  </w:endnote>
  <w:endnote w:type="continuationSeparator" w:id="0">
    <w:p w14:paraId="1454CB8E" w14:textId="77777777" w:rsidR="00E76738" w:rsidRPr="00B90C60" w:rsidRDefault="00E76738" w:rsidP="00B90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TheSans Veolia W2 ExtraLight">
    <w:panose1 w:val="00000000000000000000"/>
    <w:charset w:val="00"/>
    <w:family w:val="swiss"/>
    <w:notTrueType/>
    <w:pitch w:val="variable"/>
    <w:sig w:usb0="A00002BF" w:usb1="500078FB" w:usb2="00000000" w:usb3="00000000" w:csb0="0000009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ＭＳ Ｐゴシック">
    <w:charset w:val="4E"/>
    <w:family w:val="auto"/>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Univers 47 Light Condensed">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D8047D" w14:textId="77777777" w:rsidR="00E76738" w:rsidRPr="00B90C60" w:rsidRDefault="00E76738" w:rsidP="00B90C60">
      <w:r>
        <w:separator/>
      </w:r>
    </w:p>
  </w:footnote>
  <w:footnote w:type="continuationSeparator" w:id="0">
    <w:p w14:paraId="4C87C194" w14:textId="77777777" w:rsidR="00E76738" w:rsidRPr="00B90C60" w:rsidRDefault="00E76738" w:rsidP="00B90C60">
      <w:r>
        <w:continuationSeparator/>
      </w:r>
    </w:p>
  </w:footnote>
  <w:footnote w:id="1">
    <w:p w14:paraId="5213749B" w14:textId="77777777" w:rsidR="00E76738" w:rsidRDefault="00E76738">
      <w:pPr>
        <w:pStyle w:val="FootnoteText"/>
      </w:pPr>
      <w:r>
        <w:rPr>
          <w:rStyle w:val="FootnoteReference"/>
        </w:rPr>
        <w:footnoteRef/>
      </w:r>
      <w:r>
        <w:t xml:space="preserve"> </w:t>
      </w:r>
      <w:r w:rsidRPr="00840E66">
        <w:t xml:space="preserve">McLeod, Australian Giving Trends: Signs of Life, </w:t>
      </w:r>
      <w:proofErr w:type="spellStart"/>
      <w:r w:rsidRPr="00840E66">
        <w:t>JBWere</w:t>
      </w:r>
      <w:proofErr w:type="spellEnd"/>
      <w:r w:rsidRPr="00840E66">
        <w:t>, 2015.</w:t>
      </w:r>
    </w:p>
  </w:footnote>
  <w:footnote w:id="2">
    <w:p w14:paraId="4F6D4808" w14:textId="3B2CD18C" w:rsidR="00E76738" w:rsidRDefault="00E76738">
      <w:pPr>
        <w:pStyle w:val="FootnoteText"/>
      </w:pPr>
      <w:r>
        <w:rPr>
          <w:rStyle w:val="FootnoteReference"/>
        </w:rPr>
        <w:footnoteRef/>
      </w:r>
      <w:r>
        <w:t xml:space="preserve"> </w:t>
      </w:r>
      <w:hyperlink r:id="rId1" w:history="1">
        <w:r w:rsidRPr="008A3D48">
          <w:rPr>
            <w:rStyle w:val="Hyperlink"/>
          </w:rPr>
          <w:t xml:space="preserve">The Treasury, Private Ancillary Fund and </w:t>
        </w:r>
        <w:r w:rsidR="008A3D48" w:rsidRPr="008A3D48">
          <w:rPr>
            <w:rStyle w:val="Hyperlink"/>
          </w:rPr>
          <w:t xml:space="preserve">Public </w:t>
        </w:r>
        <w:r w:rsidRPr="008A3D48">
          <w:rPr>
            <w:rStyle w:val="Hyperlink"/>
          </w:rPr>
          <w:t>Ancillary Fund Amendment Guidelines 2015</w:t>
        </w:r>
      </w:hyperlink>
      <w:r w:rsidRPr="00840E66">
        <w:t>, Australian Government, 2015, &lt;</w:t>
      </w:r>
      <w:r w:rsidRPr="00E76738">
        <w:t>http://www.treasury.gov.au/ConsultationsandReviews/Consultations/2015/Amendments-to-the-private-and-public-ancillary-fund-guidelines</w:t>
      </w:r>
      <w:r w:rsidRPr="00840E66">
        <w:t>&gt;, accessed January 2016.</w:t>
      </w:r>
    </w:p>
  </w:footnote>
  <w:footnote w:id="3">
    <w:p w14:paraId="2E714010" w14:textId="77777777" w:rsidR="00E76738" w:rsidRDefault="00E76738" w:rsidP="00F835EE">
      <w:pPr>
        <w:pStyle w:val="FootnoteText"/>
      </w:pPr>
      <w:r w:rsidRPr="00F835EE">
        <w:rPr>
          <w:rStyle w:val="FootnoteReference"/>
        </w:rPr>
        <w:footnoteRef/>
      </w:r>
      <w:r>
        <w:t xml:space="preserve">  M McGregor-Lowndes et al, </w:t>
      </w:r>
      <w:r>
        <w:rPr>
          <w:i/>
        </w:rPr>
        <w:t>Giving And Volunteering In Australia 2014—Environmental Scan/Literature Review</w:t>
      </w:r>
      <w:r>
        <w:t>, Australian Centre for Philanthropy and Nonprofit Studies, 2014, p. iv.</w:t>
      </w:r>
    </w:p>
  </w:footnote>
  <w:footnote w:id="4">
    <w:p w14:paraId="49B36188" w14:textId="1790F107" w:rsidR="00E76738" w:rsidRDefault="00E76738" w:rsidP="00F835EE">
      <w:pPr>
        <w:pStyle w:val="FootnoteText"/>
      </w:pPr>
      <w:r w:rsidRPr="00F835EE">
        <w:rPr>
          <w:rStyle w:val="FootnoteReference"/>
        </w:rPr>
        <w:footnoteRef/>
      </w:r>
      <w:r>
        <w:t xml:space="preserve">  </w:t>
      </w:r>
      <w:hyperlink r:id="rId2" w:history="1">
        <w:r w:rsidRPr="008A3D48">
          <w:rPr>
            <w:rStyle w:val="Hyperlink"/>
          </w:rPr>
          <w:t>Australian Bureau of Statistics (2014), General Social Survey, Summary Results 2014</w:t>
        </w:r>
      </w:hyperlink>
      <w:r>
        <w:t xml:space="preserve"> (cat. no. 4159.0), available at</w:t>
      </w:r>
      <w:r>
        <w:t xml:space="preserve"> </w:t>
      </w:r>
      <w:r w:rsidR="008A3D48">
        <w:t>&lt;</w:t>
      </w:r>
      <w:r>
        <w:t>http://www.abs.gov.au/ausstats/abs@.nsf/mf/4159.0</w:t>
      </w:r>
      <w:r w:rsidR="008A3D48">
        <w:t>&gt;</w:t>
      </w:r>
      <w:r>
        <w:t>,</w:t>
      </w:r>
      <w:r>
        <w:t xml:space="preserve"> accessed January 2016.</w:t>
      </w:r>
    </w:p>
  </w:footnote>
  <w:footnote w:id="5">
    <w:p w14:paraId="01B16F55" w14:textId="3D7A48AA" w:rsidR="00E76738" w:rsidRDefault="00E76738">
      <w:pPr>
        <w:pStyle w:val="FootnoteText"/>
      </w:pPr>
      <w:r>
        <w:rPr>
          <w:rStyle w:val="FootnoteReference"/>
        </w:rPr>
        <w:footnoteRef/>
      </w:r>
      <w:r>
        <w:t xml:space="preserve"> </w:t>
      </w:r>
      <w:hyperlink r:id="rId3" w:history="1">
        <w:r w:rsidRPr="008A3D48">
          <w:rPr>
            <w:rStyle w:val="Hyperlink"/>
          </w:rPr>
          <w:t>The Treasury, Government response to the Financial System Inquiry</w:t>
        </w:r>
      </w:hyperlink>
      <w:r w:rsidRPr="00EE4B97">
        <w:t>, Australian Government, 2015, &lt;</w:t>
      </w:r>
      <w:r w:rsidRPr="008A3D48">
        <w:t>http://treasury.gov.au/fsi</w:t>
      </w:r>
      <w:r w:rsidRPr="00EE4B97">
        <w:t>&gt;, accessed January 2016.</w:t>
      </w:r>
    </w:p>
  </w:footnote>
  <w:footnote w:id="6">
    <w:p w14:paraId="0F08C9F4" w14:textId="471B79D9" w:rsidR="00E76738" w:rsidRDefault="00E76738" w:rsidP="00EE4B97">
      <w:pPr>
        <w:pStyle w:val="FootnoteText"/>
      </w:pPr>
      <w:r>
        <w:rPr>
          <w:rStyle w:val="FootnoteReference"/>
        </w:rPr>
        <w:footnoteRef/>
      </w:r>
      <w:r>
        <w:t xml:space="preserve"> </w:t>
      </w:r>
      <w:hyperlink r:id="rId4" w:history="1">
        <w:r w:rsidRPr="008A3D48">
          <w:rPr>
            <w:rStyle w:val="Hyperlink"/>
          </w:rPr>
          <w:t>Research on Philanthropy in Australia, Summary of Findings, Australian Government</w:t>
        </w:r>
      </w:hyperlink>
      <w:r>
        <w:t xml:space="preserve">, 2005 </w:t>
      </w:r>
    </w:p>
    <w:p w14:paraId="5F38405A" w14:textId="1D7B3401" w:rsidR="00E76738" w:rsidRDefault="00E76738" w:rsidP="00EE4B97">
      <w:pPr>
        <w:pStyle w:val="FootnoteText"/>
      </w:pPr>
      <w:r>
        <w:t>&lt;</w:t>
      </w:r>
      <w:r w:rsidRPr="008A3D48">
        <w:t>https://www.dss.gov.au/sites/default/files/documents/05_2012/givingaustraliareport.pdf</w:t>
      </w:r>
      <w:r>
        <w:t>&gt;, accessed January 2016.</w:t>
      </w:r>
    </w:p>
  </w:footnote>
  <w:footnote w:id="7">
    <w:p w14:paraId="0C099BB5" w14:textId="77777777" w:rsidR="00E76738" w:rsidRDefault="00E76738">
      <w:pPr>
        <w:pStyle w:val="FootnoteText"/>
      </w:pPr>
      <w:r>
        <w:rPr>
          <w:rStyle w:val="FootnoteReference"/>
        </w:rPr>
        <w:footnoteRef/>
      </w:r>
      <w:r>
        <w:t xml:space="preserve"> </w:t>
      </w:r>
      <w:r w:rsidRPr="00EE4B97">
        <w:t xml:space="preserve">J McLeod, Australian Giving Trends: Stuck on the Plateau, </w:t>
      </w:r>
      <w:proofErr w:type="spellStart"/>
      <w:r w:rsidRPr="00EE4B97">
        <w:t>JBWere</w:t>
      </w:r>
      <w:proofErr w:type="spellEnd"/>
      <w:r w:rsidRPr="00EE4B97">
        <w:t>, 2014.</w:t>
      </w:r>
    </w:p>
  </w:footnote>
  <w:footnote w:id="8">
    <w:p w14:paraId="67A72E84" w14:textId="77777777" w:rsidR="00E76738" w:rsidRDefault="00E76738">
      <w:pPr>
        <w:pStyle w:val="FootnoteText"/>
      </w:pPr>
      <w:r>
        <w:rPr>
          <w:rStyle w:val="FootnoteReference"/>
        </w:rPr>
        <w:footnoteRef/>
      </w:r>
      <w:r>
        <w:t xml:space="preserve"> </w:t>
      </w:r>
      <w:r w:rsidRPr="00EE4B97">
        <w:t>Baker, Encouraging Charitable Bequests by Australians, Swinburne University of Technology, 2014.</w:t>
      </w:r>
    </w:p>
  </w:footnote>
  <w:footnote w:id="9">
    <w:p w14:paraId="13B06DE6" w14:textId="37B18892" w:rsidR="00E76738" w:rsidRDefault="00E76738">
      <w:pPr>
        <w:pStyle w:val="FootnoteText"/>
      </w:pPr>
      <w:r>
        <w:rPr>
          <w:rStyle w:val="FootnoteReference"/>
        </w:rPr>
        <w:footnoteRef/>
      </w:r>
      <w:r>
        <w:t xml:space="preserve"> </w:t>
      </w:r>
      <w:r w:rsidRPr="00EE4B97">
        <w:t xml:space="preserve">S Kelly, and A Harding, </w:t>
      </w:r>
      <w:hyperlink r:id="rId5" w:history="1">
        <w:r w:rsidRPr="008A3D48">
          <w:rPr>
            <w:rStyle w:val="Hyperlink"/>
          </w:rPr>
          <w:t>AMP NATSEM Income and Wealth Report Issue 5: Wealth and Inheritance</w:t>
        </w:r>
      </w:hyperlink>
      <w:r w:rsidRPr="00EE4B97">
        <w:t>, National Centre for Social and Economic Modelling at the University of Canberra, June 2003, &lt;</w:t>
      </w:r>
      <w:r w:rsidRPr="008A3D48">
        <w:t>http://www.natsem.canberra.edu.au/publications/?publication=ampnatsem-income-and-wealth-report-issue-5-wealth-and-inheritance</w:t>
      </w:r>
      <w:r w:rsidRPr="00EE4B97">
        <w:t>&gt;, accessed December 2015.</w:t>
      </w:r>
    </w:p>
  </w:footnote>
  <w:footnote w:id="10">
    <w:p w14:paraId="7274D244" w14:textId="52E901E9" w:rsidR="00E76738" w:rsidRDefault="00E76738">
      <w:pPr>
        <w:pStyle w:val="FootnoteText"/>
      </w:pPr>
      <w:r>
        <w:rPr>
          <w:rStyle w:val="FootnoteReference"/>
        </w:rPr>
        <w:footnoteRef/>
      </w:r>
      <w:r>
        <w:t xml:space="preserve"> </w:t>
      </w:r>
      <w:hyperlink r:id="rId6" w:history="1">
        <w:r w:rsidRPr="008A3D48">
          <w:rPr>
            <w:rStyle w:val="Hyperlink"/>
          </w:rPr>
          <w:t>Australian Philanthropic Services, Momentum in philanthropy continues with further growth in private ancillary funds [media release]</w:t>
        </w:r>
      </w:hyperlink>
      <w:r w:rsidRPr="00EE4B97">
        <w:t>, 7 July 2015, &lt;</w:t>
      </w:r>
      <w:r w:rsidRPr="008A3D48">
        <w:t>http://australianphilanthropicservices.com.au/wp-content/uploads/2015/09/Media-Release-APS-July-2015.pdf</w:t>
      </w:r>
      <w:r w:rsidRPr="00EE4B97">
        <w:t>&gt;, accessed January 2016.</w:t>
      </w:r>
    </w:p>
  </w:footnote>
  <w:footnote w:id="11">
    <w:p w14:paraId="06B36003" w14:textId="21E3B81F" w:rsidR="00E76738" w:rsidRDefault="00E76738" w:rsidP="00EE4B97">
      <w:pPr>
        <w:pStyle w:val="FootnoteText"/>
      </w:pPr>
      <w:r>
        <w:rPr>
          <w:rStyle w:val="FootnoteReference"/>
        </w:rPr>
        <w:footnoteRef/>
      </w:r>
      <w:r>
        <w:t xml:space="preserve"> </w:t>
      </w:r>
      <w:hyperlink r:id="rId7" w:history="1">
        <w:r w:rsidRPr="008A3D48">
          <w:rPr>
            <w:rStyle w:val="Hyperlink"/>
          </w:rPr>
          <w:t>Impact Investing Australia Global Social Impact Investment Steering Group, Impact Investing Australia</w:t>
        </w:r>
      </w:hyperlink>
      <w:r>
        <w:t>,</w:t>
      </w:r>
    </w:p>
    <w:p w14:paraId="2A76F662" w14:textId="65036103" w:rsidR="00E76738" w:rsidRDefault="00E76738" w:rsidP="00EE4B97">
      <w:pPr>
        <w:pStyle w:val="FootnoteText"/>
      </w:pPr>
      <w:r>
        <w:t>&lt;</w:t>
      </w:r>
      <w:r w:rsidRPr="008A3D48">
        <w:t>http://impactinvestingaustralia.com/our-work/g8-taskforce-on-impact-investing/</w:t>
      </w:r>
      <w:r>
        <w:t>&gt;, accessed January 2016.</w:t>
      </w:r>
    </w:p>
  </w:footnote>
  <w:footnote w:id="12">
    <w:p w14:paraId="30D6D649" w14:textId="25A9075D" w:rsidR="00E76738" w:rsidRDefault="00E76738">
      <w:pPr>
        <w:pStyle w:val="FootnoteText"/>
      </w:pPr>
      <w:r>
        <w:rPr>
          <w:rStyle w:val="FootnoteReference"/>
        </w:rPr>
        <w:footnoteRef/>
      </w:r>
      <w:r>
        <w:t xml:space="preserve"> </w:t>
      </w:r>
      <w:hyperlink r:id="rId8" w:history="1">
        <w:r w:rsidRPr="008A3D48">
          <w:rPr>
            <w:rStyle w:val="Hyperlink"/>
          </w:rPr>
          <w:t>Australian Bureau of Statistics, General Social Survey: Summary Results, Australia, June 2015</w:t>
        </w:r>
      </w:hyperlink>
      <w:r w:rsidRPr="00EE4B97">
        <w:t>, cat. </w:t>
      </w:r>
      <w:proofErr w:type="gramStart"/>
      <w:r w:rsidRPr="00EE4B97">
        <w:t>no</w:t>
      </w:r>
      <w:proofErr w:type="gramEnd"/>
      <w:r w:rsidRPr="00EE4B97">
        <w:t>. 4159.0, 29 June 2015, &lt;</w:t>
      </w:r>
      <w:r w:rsidRPr="008A3D48">
        <w:t>http://www.abs.gov.au/ausstats/abs@.nsf/mf/4159.0</w:t>
      </w:r>
      <w:r w:rsidRPr="00EE4B97">
        <w:t>&gt;, accessed January 2016.</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79CD01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DEE0AC0"/>
    <w:lvl w:ilvl="0">
      <w:start w:val="1"/>
      <w:numFmt w:val="decimal"/>
      <w:pStyle w:val="ListNumber4"/>
      <w:lvlText w:val="%1)"/>
      <w:lvlJc w:val="left"/>
      <w:pPr>
        <w:ind w:left="1209" w:hanging="360"/>
      </w:pPr>
    </w:lvl>
  </w:abstractNum>
  <w:abstractNum w:abstractNumId="2">
    <w:nsid w:val="FFFFFF7E"/>
    <w:multiLevelType w:val="singleLevel"/>
    <w:tmpl w:val="E8D6DD70"/>
    <w:lvl w:ilvl="0">
      <w:start w:val="1"/>
      <w:numFmt w:val="decimal"/>
      <w:lvlText w:val="%1."/>
      <w:lvlJc w:val="left"/>
      <w:pPr>
        <w:tabs>
          <w:tab w:val="num" w:pos="926"/>
        </w:tabs>
        <w:ind w:left="926" w:hanging="360"/>
      </w:pPr>
    </w:lvl>
  </w:abstractNum>
  <w:abstractNum w:abstractNumId="3">
    <w:nsid w:val="FFFFFF7F"/>
    <w:multiLevelType w:val="singleLevel"/>
    <w:tmpl w:val="4C1654D2"/>
    <w:lvl w:ilvl="0">
      <w:start w:val="1"/>
      <w:numFmt w:val="decimal"/>
      <w:lvlText w:val="%1."/>
      <w:lvlJc w:val="left"/>
      <w:pPr>
        <w:tabs>
          <w:tab w:val="num" w:pos="643"/>
        </w:tabs>
        <w:ind w:left="643" w:hanging="360"/>
      </w:pPr>
    </w:lvl>
  </w:abstractNum>
  <w:abstractNum w:abstractNumId="4">
    <w:nsid w:val="FFFFFF80"/>
    <w:multiLevelType w:val="singleLevel"/>
    <w:tmpl w:val="9C806390"/>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4498D310"/>
    <w:lvl w:ilvl="0">
      <w:start w:val="1"/>
      <w:numFmt w:val="bullet"/>
      <w:lvlText w:val=""/>
      <w:lvlJc w:val="left"/>
      <w:pPr>
        <w:ind w:left="1209" w:hanging="360"/>
      </w:pPr>
      <w:rPr>
        <w:rFonts w:ascii="Wingdings" w:hAnsi="Wingdings" w:hint="default"/>
      </w:rPr>
    </w:lvl>
  </w:abstractNum>
  <w:abstractNum w:abstractNumId="6">
    <w:nsid w:val="FFFFFF82"/>
    <w:multiLevelType w:val="singleLevel"/>
    <w:tmpl w:val="42D20488"/>
    <w:lvl w:ilvl="0">
      <w:start w:val="1"/>
      <w:numFmt w:val="bullet"/>
      <w:lvlText w:val="–"/>
      <w:lvlJc w:val="left"/>
      <w:pPr>
        <w:ind w:left="926" w:hanging="360"/>
      </w:pPr>
      <w:rPr>
        <w:rFonts w:ascii="TheSans Veolia W2 ExtraLight" w:hAnsi="TheSans Veolia W2 ExtraLight" w:hint="default"/>
      </w:rPr>
    </w:lvl>
  </w:abstractNum>
  <w:abstractNum w:abstractNumId="7">
    <w:nsid w:val="FFFFFF83"/>
    <w:multiLevelType w:val="singleLevel"/>
    <w:tmpl w:val="4CC48C7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AC92ED90"/>
    <w:lvl w:ilvl="0">
      <w:start w:val="1"/>
      <w:numFmt w:val="decimal"/>
      <w:lvlText w:val="%1."/>
      <w:lvlJc w:val="left"/>
      <w:pPr>
        <w:tabs>
          <w:tab w:val="num" w:pos="360"/>
        </w:tabs>
        <w:ind w:left="360" w:hanging="360"/>
      </w:pPr>
    </w:lvl>
  </w:abstractNum>
  <w:abstractNum w:abstractNumId="9">
    <w:nsid w:val="FFFFFF89"/>
    <w:multiLevelType w:val="singleLevel"/>
    <w:tmpl w:val="F9D05A22"/>
    <w:lvl w:ilvl="0">
      <w:start w:val="1"/>
      <w:numFmt w:val="bullet"/>
      <w:lvlText w:val=""/>
      <w:lvlJc w:val="left"/>
      <w:pPr>
        <w:ind w:left="717" w:hanging="360"/>
      </w:pPr>
      <w:rPr>
        <w:rFonts w:ascii="Symbol" w:hAnsi="Symbol" w:hint="default"/>
        <w:color w:val="D7181E"/>
      </w:rPr>
    </w:lvl>
  </w:abstractNum>
  <w:abstractNum w:abstractNumId="10">
    <w:nsid w:val="13C50E71"/>
    <w:multiLevelType w:val="multilevel"/>
    <w:tmpl w:val="8FAE6826"/>
    <w:lvl w:ilvl="0">
      <w:start w:val="1"/>
      <w:numFmt w:val="bullet"/>
      <w:lvlText w:val=""/>
      <w:lvlJc w:val="left"/>
      <w:pPr>
        <w:ind w:left="720" w:hanging="363"/>
      </w:pPr>
      <w:rPr>
        <w:rFonts w:ascii="Symbol" w:hAnsi="Symbol" w:hint="default"/>
        <w:color w:val="auto"/>
      </w:rPr>
    </w:lvl>
    <w:lvl w:ilvl="1">
      <w:start w:val="1"/>
      <w:numFmt w:val="bullet"/>
      <w:lvlText w:val="o"/>
      <w:lvlJc w:val="left"/>
      <w:pPr>
        <w:ind w:left="1077" w:hanging="357"/>
      </w:pPr>
      <w:rPr>
        <w:rFonts w:ascii="Courier New" w:hAnsi="Courier New" w:hint="default"/>
        <w:color w:val="auto"/>
      </w:rPr>
    </w:lvl>
    <w:lvl w:ilvl="2">
      <w:start w:val="1"/>
      <w:numFmt w:val="bullet"/>
      <w:lvlText w:val=""/>
      <w:lvlJc w:val="left"/>
      <w:pPr>
        <w:ind w:left="1435" w:hanging="358"/>
      </w:pPr>
      <w:rPr>
        <w:rFonts w:ascii="Symbol" w:hAnsi="Symbol" w:hint="default"/>
        <w:color w:val="auto"/>
      </w:rPr>
    </w:lvl>
    <w:lvl w:ilvl="3">
      <w:start w:val="1"/>
      <w:numFmt w:val="bullet"/>
      <w:lvlText w:val=""/>
      <w:lvlJc w:val="left"/>
      <w:pPr>
        <w:ind w:left="1809" w:hanging="374"/>
      </w:pPr>
      <w:rPr>
        <w:rFonts w:ascii="Symbol" w:hAnsi="Symbol"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8"/>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1">
    <w:nsid w:val="15936B19"/>
    <w:multiLevelType w:val="hybridMultilevel"/>
    <w:tmpl w:val="CB46B1BC"/>
    <w:lvl w:ilvl="0" w:tplc="C3F40460">
      <w:start w:val="1"/>
      <w:numFmt w:val="bullet"/>
      <w:pStyle w:val="TableBullets1"/>
      <w:lvlText w:val=""/>
      <w:lvlJc w:val="left"/>
      <w:pPr>
        <w:ind w:left="828" w:hanging="360"/>
      </w:pPr>
      <w:rPr>
        <w:rFonts w:ascii="Symbol" w:hAnsi="Symbol" w:hint="default"/>
        <w:color w:val="000000" w:themeColor="text1"/>
      </w:rPr>
    </w:lvl>
    <w:lvl w:ilvl="1" w:tplc="0C090003" w:tentative="1">
      <w:start w:val="1"/>
      <w:numFmt w:val="bullet"/>
      <w:lvlText w:val="o"/>
      <w:lvlJc w:val="left"/>
      <w:pPr>
        <w:ind w:left="1548" w:hanging="360"/>
      </w:pPr>
      <w:rPr>
        <w:rFonts w:ascii="Courier New" w:hAnsi="Courier New" w:cs="Courier New" w:hint="default"/>
      </w:rPr>
    </w:lvl>
    <w:lvl w:ilvl="2" w:tplc="0C090005" w:tentative="1">
      <w:start w:val="1"/>
      <w:numFmt w:val="bullet"/>
      <w:lvlText w:val=""/>
      <w:lvlJc w:val="left"/>
      <w:pPr>
        <w:ind w:left="2268" w:hanging="360"/>
      </w:pPr>
      <w:rPr>
        <w:rFonts w:ascii="Wingdings" w:hAnsi="Wingdings" w:hint="default"/>
      </w:rPr>
    </w:lvl>
    <w:lvl w:ilvl="3" w:tplc="0C090001" w:tentative="1">
      <w:start w:val="1"/>
      <w:numFmt w:val="bullet"/>
      <w:lvlText w:val=""/>
      <w:lvlJc w:val="left"/>
      <w:pPr>
        <w:ind w:left="2988" w:hanging="360"/>
      </w:pPr>
      <w:rPr>
        <w:rFonts w:ascii="Symbol" w:hAnsi="Symbol" w:hint="default"/>
      </w:rPr>
    </w:lvl>
    <w:lvl w:ilvl="4" w:tplc="0C090003" w:tentative="1">
      <w:start w:val="1"/>
      <w:numFmt w:val="bullet"/>
      <w:lvlText w:val="o"/>
      <w:lvlJc w:val="left"/>
      <w:pPr>
        <w:ind w:left="3708" w:hanging="360"/>
      </w:pPr>
      <w:rPr>
        <w:rFonts w:ascii="Courier New" w:hAnsi="Courier New" w:cs="Courier New" w:hint="default"/>
      </w:rPr>
    </w:lvl>
    <w:lvl w:ilvl="5" w:tplc="0C090005" w:tentative="1">
      <w:start w:val="1"/>
      <w:numFmt w:val="bullet"/>
      <w:lvlText w:val=""/>
      <w:lvlJc w:val="left"/>
      <w:pPr>
        <w:ind w:left="4428" w:hanging="360"/>
      </w:pPr>
      <w:rPr>
        <w:rFonts w:ascii="Wingdings" w:hAnsi="Wingdings" w:hint="default"/>
      </w:rPr>
    </w:lvl>
    <w:lvl w:ilvl="6" w:tplc="0C090001" w:tentative="1">
      <w:start w:val="1"/>
      <w:numFmt w:val="bullet"/>
      <w:lvlText w:val=""/>
      <w:lvlJc w:val="left"/>
      <w:pPr>
        <w:ind w:left="5148" w:hanging="360"/>
      </w:pPr>
      <w:rPr>
        <w:rFonts w:ascii="Symbol" w:hAnsi="Symbol" w:hint="default"/>
      </w:rPr>
    </w:lvl>
    <w:lvl w:ilvl="7" w:tplc="0C090003" w:tentative="1">
      <w:start w:val="1"/>
      <w:numFmt w:val="bullet"/>
      <w:lvlText w:val="o"/>
      <w:lvlJc w:val="left"/>
      <w:pPr>
        <w:ind w:left="5868" w:hanging="360"/>
      </w:pPr>
      <w:rPr>
        <w:rFonts w:ascii="Courier New" w:hAnsi="Courier New" w:cs="Courier New" w:hint="default"/>
      </w:rPr>
    </w:lvl>
    <w:lvl w:ilvl="8" w:tplc="0C090005" w:tentative="1">
      <w:start w:val="1"/>
      <w:numFmt w:val="bullet"/>
      <w:lvlText w:val=""/>
      <w:lvlJc w:val="left"/>
      <w:pPr>
        <w:ind w:left="6588" w:hanging="360"/>
      </w:pPr>
      <w:rPr>
        <w:rFonts w:ascii="Wingdings" w:hAnsi="Wingdings" w:hint="default"/>
      </w:rPr>
    </w:lvl>
  </w:abstractNum>
  <w:abstractNum w:abstractNumId="12">
    <w:nsid w:val="266C3831"/>
    <w:multiLevelType w:val="hybridMultilevel"/>
    <w:tmpl w:val="B9C8CCF6"/>
    <w:lvl w:ilvl="0" w:tplc="7F4E79E8">
      <w:start w:val="1"/>
      <w:numFmt w:val="bullet"/>
      <w:pStyle w:val="BodyBullet1"/>
      <w:lvlText w:val=""/>
      <w:lvlJc w:val="left"/>
      <w:pPr>
        <w:ind w:left="1077" w:hanging="360"/>
      </w:pPr>
      <w:rPr>
        <w:rFonts w:ascii="Wingdings" w:hAnsi="Wingdings" w:hint="default"/>
        <w:color w:val="auto"/>
      </w:rPr>
    </w:lvl>
    <w:lvl w:ilvl="1" w:tplc="0C090003" w:tentative="1">
      <w:start w:val="1"/>
      <w:numFmt w:val="bullet"/>
      <w:lvlText w:val="o"/>
      <w:lvlJc w:val="left"/>
      <w:pPr>
        <w:ind w:left="1797" w:hanging="360"/>
      </w:pPr>
      <w:rPr>
        <w:rFonts w:ascii="Courier New" w:hAnsi="Courier New" w:cs="Courier New" w:hint="default"/>
      </w:rPr>
    </w:lvl>
    <w:lvl w:ilvl="2" w:tplc="0C090005" w:tentative="1">
      <w:start w:val="1"/>
      <w:numFmt w:val="bullet"/>
      <w:lvlText w:val=""/>
      <w:lvlJc w:val="left"/>
      <w:pPr>
        <w:ind w:left="2517" w:hanging="360"/>
      </w:pPr>
      <w:rPr>
        <w:rFonts w:ascii="Wingdings" w:hAnsi="Wingdings" w:hint="default"/>
      </w:rPr>
    </w:lvl>
    <w:lvl w:ilvl="3" w:tplc="0C090001" w:tentative="1">
      <w:start w:val="1"/>
      <w:numFmt w:val="bullet"/>
      <w:lvlText w:val=""/>
      <w:lvlJc w:val="left"/>
      <w:pPr>
        <w:ind w:left="3237" w:hanging="360"/>
      </w:pPr>
      <w:rPr>
        <w:rFonts w:ascii="Symbol" w:hAnsi="Symbol" w:hint="default"/>
      </w:rPr>
    </w:lvl>
    <w:lvl w:ilvl="4" w:tplc="0C090003" w:tentative="1">
      <w:start w:val="1"/>
      <w:numFmt w:val="bullet"/>
      <w:lvlText w:val="o"/>
      <w:lvlJc w:val="left"/>
      <w:pPr>
        <w:ind w:left="3957" w:hanging="360"/>
      </w:pPr>
      <w:rPr>
        <w:rFonts w:ascii="Courier New" w:hAnsi="Courier New" w:cs="Courier New" w:hint="default"/>
      </w:rPr>
    </w:lvl>
    <w:lvl w:ilvl="5" w:tplc="0C090005" w:tentative="1">
      <w:start w:val="1"/>
      <w:numFmt w:val="bullet"/>
      <w:lvlText w:val=""/>
      <w:lvlJc w:val="left"/>
      <w:pPr>
        <w:ind w:left="4677" w:hanging="360"/>
      </w:pPr>
      <w:rPr>
        <w:rFonts w:ascii="Wingdings" w:hAnsi="Wingdings" w:hint="default"/>
      </w:rPr>
    </w:lvl>
    <w:lvl w:ilvl="6" w:tplc="0C090001" w:tentative="1">
      <w:start w:val="1"/>
      <w:numFmt w:val="bullet"/>
      <w:lvlText w:val=""/>
      <w:lvlJc w:val="left"/>
      <w:pPr>
        <w:ind w:left="5397" w:hanging="360"/>
      </w:pPr>
      <w:rPr>
        <w:rFonts w:ascii="Symbol" w:hAnsi="Symbol" w:hint="default"/>
      </w:rPr>
    </w:lvl>
    <w:lvl w:ilvl="7" w:tplc="0C090003" w:tentative="1">
      <w:start w:val="1"/>
      <w:numFmt w:val="bullet"/>
      <w:lvlText w:val="o"/>
      <w:lvlJc w:val="left"/>
      <w:pPr>
        <w:ind w:left="6117" w:hanging="360"/>
      </w:pPr>
      <w:rPr>
        <w:rFonts w:ascii="Courier New" w:hAnsi="Courier New" w:cs="Courier New" w:hint="default"/>
      </w:rPr>
    </w:lvl>
    <w:lvl w:ilvl="8" w:tplc="0C090005" w:tentative="1">
      <w:start w:val="1"/>
      <w:numFmt w:val="bullet"/>
      <w:lvlText w:val=""/>
      <w:lvlJc w:val="left"/>
      <w:pPr>
        <w:ind w:left="6837" w:hanging="360"/>
      </w:pPr>
      <w:rPr>
        <w:rFonts w:ascii="Wingdings" w:hAnsi="Wingdings" w:hint="default"/>
      </w:rPr>
    </w:lvl>
  </w:abstractNum>
  <w:abstractNum w:abstractNumId="13">
    <w:nsid w:val="2D4F791F"/>
    <w:multiLevelType w:val="hybridMultilevel"/>
    <w:tmpl w:val="F1C24B26"/>
    <w:lvl w:ilvl="0" w:tplc="678E1022">
      <w:start w:val="1"/>
      <w:numFmt w:val="bullet"/>
      <w:pStyle w:val="BodyBullet2"/>
      <w:lvlText w:val=""/>
      <w:lvlJc w:val="left"/>
      <w:pPr>
        <w:ind w:left="1077" w:hanging="360"/>
      </w:pPr>
      <w:rPr>
        <w:rFonts w:ascii="Symbol" w:hAnsi="Symbol" w:hint="default"/>
        <w:color w:val="auto"/>
      </w:rPr>
    </w:lvl>
    <w:lvl w:ilvl="1" w:tplc="0C090003" w:tentative="1">
      <w:start w:val="1"/>
      <w:numFmt w:val="bullet"/>
      <w:lvlText w:val="o"/>
      <w:lvlJc w:val="left"/>
      <w:pPr>
        <w:ind w:left="1797" w:hanging="360"/>
      </w:pPr>
      <w:rPr>
        <w:rFonts w:ascii="Courier New" w:hAnsi="Courier New" w:cs="Courier New" w:hint="default"/>
      </w:rPr>
    </w:lvl>
    <w:lvl w:ilvl="2" w:tplc="0C090005" w:tentative="1">
      <w:start w:val="1"/>
      <w:numFmt w:val="bullet"/>
      <w:lvlText w:val=""/>
      <w:lvlJc w:val="left"/>
      <w:pPr>
        <w:ind w:left="2517" w:hanging="360"/>
      </w:pPr>
      <w:rPr>
        <w:rFonts w:ascii="Wingdings" w:hAnsi="Wingdings" w:hint="default"/>
      </w:rPr>
    </w:lvl>
    <w:lvl w:ilvl="3" w:tplc="0C090001" w:tentative="1">
      <w:start w:val="1"/>
      <w:numFmt w:val="bullet"/>
      <w:lvlText w:val=""/>
      <w:lvlJc w:val="left"/>
      <w:pPr>
        <w:ind w:left="3237" w:hanging="360"/>
      </w:pPr>
      <w:rPr>
        <w:rFonts w:ascii="Symbol" w:hAnsi="Symbol" w:hint="default"/>
      </w:rPr>
    </w:lvl>
    <w:lvl w:ilvl="4" w:tplc="0C090003" w:tentative="1">
      <w:start w:val="1"/>
      <w:numFmt w:val="bullet"/>
      <w:lvlText w:val="o"/>
      <w:lvlJc w:val="left"/>
      <w:pPr>
        <w:ind w:left="3957" w:hanging="360"/>
      </w:pPr>
      <w:rPr>
        <w:rFonts w:ascii="Courier New" w:hAnsi="Courier New" w:cs="Courier New" w:hint="default"/>
      </w:rPr>
    </w:lvl>
    <w:lvl w:ilvl="5" w:tplc="0C090005" w:tentative="1">
      <w:start w:val="1"/>
      <w:numFmt w:val="bullet"/>
      <w:lvlText w:val=""/>
      <w:lvlJc w:val="left"/>
      <w:pPr>
        <w:ind w:left="4677" w:hanging="360"/>
      </w:pPr>
      <w:rPr>
        <w:rFonts w:ascii="Wingdings" w:hAnsi="Wingdings" w:hint="default"/>
      </w:rPr>
    </w:lvl>
    <w:lvl w:ilvl="6" w:tplc="0C090001" w:tentative="1">
      <w:start w:val="1"/>
      <w:numFmt w:val="bullet"/>
      <w:lvlText w:val=""/>
      <w:lvlJc w:val="left"/>
      <w:pPr>
        <w:ind w:left="5397" w:hanging="360"/>
      </w:pPr>
      <w:rPr>
        <w:rFonts w:ascii="Symbol" w:hAnsi="Symbol" w:hint="default"/>
      </w:rPr>
    </w:lvl>
    <w:lvl w:ilvl="7" w:tplc="0C090003" w:tentative="1">
      <w:start w:val="1"/>
      <w:numFmt w:val="bullet"/>
      <w:lvlText w:val="o"/>
      <w:lvlJc w:val="left"/>
      <w:pPr>
        <w:ind w:left="6117" w:hanging="360"/>
      </w:pPr>
      <w:rPr>
        <w:rFonts w:ascii="Courier New" w:hAnsi="Courier New" w:cs="Courier New" w:hint="default"/>
      </w:rPr>
    </w:lvl>
    <w:lvl w:ilvl="8" w:tplc="0C090005" w:tentative="1">
      <w:start w:val="1"/>
      <w:numFmt w:val="bullet"/>
      <w:lvlText w:val=""/>
      <w:lvlJc w:val="left"/>
      <w:pPr>
        <w:ind w:left="6837" w:hanging="360"/>
      </w:pPr>
      <w:rPr>
        <w:rFonts w:ascii="Wingdings" w:hAnsi="Wingdings" w:hint="default"/>
      </w:rPr>
    </w:lvl>
  </w:abstractNum>
  <w:abstractNum w:abstractNumId="14">
    <w:nsid w:val="408564EA"/>
    <w:multiLevelType w:val="multilevel"/>
    <w:tmpl w:val="87F2F9E0"/>
    <w:lvl w:ilvl="0">
      <w:start w:val="1"/>
      <w:numFmt w:val="decimal"/>
      <w:lvlText w:val="%1"/>
      <w:lvlJc w:val="left"/>
      <w:pPr>
        <w:ind w:left="1077" w:hanging="1077"/>
      </w:pPr>
      <w:rPr>
        <w:rFonts w:hint="default"/>
      </w:rPr>
    </w:lvl>
    <w:lvl w:ilvl="1">
      <w:start w:val="1"/>
      <w:numFmt w:val="decimal"/>
      <w:lvlText w:val="%1.%2"/>
      <w:lvlJc w:val="left"/>
      <w:pPr>
        <w:ind w:left="1077" w:hanging="1077"/>
      </w:pPr>
      <w:rPr>
        <w:rFonts w:hint="default"/>
      </w:rPr>
    </w:lvl>
    <w:lvl w:ilvl="2">
      <w:start w:val="1"/>
      <w:numFmt w:val="decimal"/>
      <w:lvlText w:val="%1.%2.%3"/>
      <w:lvlJc w:val="left"/>
      <w:pPr>
        <w:ind w:left="1077" w:hanging="1077"/>
      </w:pPr>
      <w:rPr>
        <w:rFonts w:hint="default"/>
      </w:rPr>
    </w:lvl>
    <w:lvl w:ilvl="3">
      <w:start w:val="1"/>
      <w:numFmt w:val="decimal"/>
      <w:lvlText w:val="%1.%2.%3.%4"/>
      <w:lvlJc w:val="left"/>
      <w:pPr>
        <w:ind w:left="1077" w:hanging="1077"/>
      </w:pPr>
      <w:rPr>
        <w:rFonts w:hint="default"/>
      </w:rPr>
    </w:lvl>
    <w:lvl w:ilvl="4">
      <w:start w:val="1"/>
      <w:numFmt w:val="upperLetter"/>
      <w:suff w:val="space"/>
      <w:lvlText w:val="Appendix %5:"/>
      <w:lvlJc w:val="left"/>
      <w:pPr>
        <w:ind w:left="3544" w:firstLine="0"/>
      </w:pPr>
      <w:rPr>
        <w:rFonts w:hint="default"/>
      </w:rPr>
    </w:lvl>
    <w:lvl w:ilvl="5">
      <w:start w:val="1"/>
      <w:numFmt w:val="decimal"/>
      <w:lvlText w:val="%6"/>
      <w:lvlJc w:val="left"/>
      <w:pPr>
        <w:ind w:left="357" w:hanging="357"/>
      </w:pPr>
      <w:rPr>
        <w:rFonts w:hint="default"/>
      </w:rPr>
    </w:lvl>
    <w:lvl w:ilvl="6">
      <w:start w:val="1"/>
      <w:numFmt w:val="lowerLetter"/>
      <w:lvlText w:val="%7."/>
      <w:lvlJc w:val="left"/>
      <w:pPr>
        <w:ind w:left="720" w:hanging="363"/>
      </w:pPr>
      <w:rPr>
        <w:rFonts w:hint="default"/>
      </w:rPr>
    </w:lvl>
    <w:lvl w:ilvl="7">
      <w:start w:val="1"/>
      <w:numFmt w:val="lowerRoman"/>
      <w:lvlText w:val="%8)"/>
      <w:lvlJc w:val="left"/>
      <w:pPr>
        <w:ind w:left="1077" w:hanging="357"/>
      </w:pPr>
      <w:rPr>
        <w:rFonts w:hint="default"/>
      </w:rPr>
    </w:lvl>
    <w:lvl w:ilvl="8">
      <w:start w:val="1"/>
      <w:numFmt w:val="decimal"/>
      <w:lvlText w:val="%9)"/>
      <w:lvlJc w:val="left"/>
      <w:pPr>
        <w:tabs>
          <w:tab w:val="num" w:pos="1435"/>
        </w:tabs>
        <w:ind w:left="1435" w:hanging="358"/>
      </w:pPr>
      <w:rPr>
        <w:rFonts w:hint="default"/>
      </w:rPr>
    </w:lvl>
  </w:abstractNum>
  <w:abstractNum w:abstractNumId="15">
    <w:nsid w:val="440839EF"/>
    <w:multiLevelType w:val="hybridMultilevel"/>
    <w:tmpl w:val="35C2DF18"/>
    <w:lvl w:ilvl="0" w:tplc="C2A6D20A">
      <w:start w:val="1"/>
      <w:numFmt w:val="bullet"/>
      <w:lvlText w:val=""/>
      <w:lvlJc w:val="left"/>
      <w:pPr>
        <w:ind w:left="1077" w:hanging="360"/>
      </w:pPr>
      <w:rPr>
        <w:rFonts w:ascii="Symbol" w:hAnsi="Symbol" w:hint="default"/>
        <w:color w:val="000000" w:themeColor="text1"/>
      </w:rPr>
    </w:lvl>
    <w:lvl w:ilvl="1" w:tplc="0C090003" w:tentative="1">
      <w:start w:val="1"/>
      <w:numFmt w:val="bullet"/>
      <w:lvlText w:val="o"/>
      <w:lvlJc w:val="left"/>
      <w:pPr>
        <w:ind w:left="1797" w:hanging="360"/>
      </w:pPr>
      <w:rPr>
        <w:rFonts w:ascii="Courier New" w:hAnsi="Courier New" w:cs="Courier New" w:hint="default"/>
      </w:rPr>
    </w:lvl>
    <w:lvl w:ilvl="2" w:tplc="0C090005" w:tentative="1">
      <w:start w:val="1"/>
      <w:numFmt w:val="bullet"/>
      <w:lvlText w:val=""/>
      <w:lvlJc w:val="left"/>
      <w:pPr>
        <w:ind w:left="2517" w:hanging="360"/>
      </w:pPr>
      <w:rPr>
        <w:rFonts w:ascii="Wingdings" w:hAnsi="Wingdings" w:hint="default"/>
      </w:rPr>
    </w:lvl>
    <w:lvl w:ilvl="3" w:tplc="0C090001" w:tentative="1">
      <w:start w:val="1"/>
      <w:numFmt w:val="bullet"/>
      <w:lvlText w:val=""/>
      <w:lvlJc w:val="left"/>
      <w:pPr>
        <w:ind w:left="3237" w:hanging="360"/>
      </w:pPr>
      <w:rPr>
        <w:rFonts w:ascii="Symbol" w:hAnsi="Symbol" w:hint="default"/>
      </w:rPr>
    </w:lvl>
    <w:lvl w:ilvl="4" w:tplc="0C090003" w:tentative="1">
      <w:start w:val="1"/>
      <w:numFmt w:val="bullet"/>
      <w:lvlText w:val="o"/>
      <w:lvlJc w:val="left"/>
      <w:pPr>
        <w:ind w:left="3957" w:hanging="360"/>
      </w:pPr>
      <w:rPr>
        <w:rFonts w:ascii="Courier New" w:hAnsi="Courier New" w:cs="Courier New" w:hint="default"/>
      </w:rPr>
    </w:lvl>
    <w:lvl w:ilvl="5" w:tplc="0C090005" w:tentative="1">
      <w:start w:val="1"/>
      <w:numFmt w:val="bullet"/>
      <w:lvlText w:val=""/>
      <w:lvlJc w:val="left"/>
      <w:pPr>
        <w:ind w:left="4677" w:hanging="360"/>
      </w:pPr>
      <w:rPr>
        <w:rFonts w:ascii="Wingdings" w:hAnsi="Wingdings" w:hint="default"/>
      </w:rPr>
    </w:lvl>
    <w:lvl w:ilvl="6" w:tplc="0C090001" w:tentative="1">
      <w:start w:val="1"/>
      <w:numFmt w:val="bullet"/>
      <w:lvlText w:val=""/>
      <w:lvlJc w:val="left"/>
      <w:pPr>
        <w:ind w:left="5397" w:hanging="360"/>
      </w:pPr>
      <w:rPr>
        <w:rFonts w:ascii="Symbol" w:hAnsi="Symbol" w:hint="default"/>
      </w:rPr>
    </w:lvl>
    <w:lvl w:ilvl="7" w:tplc="0C090003" w:tentative="1">
      <w:start w:val="1"/>
      <w:numFmt w:val="bullet"/>
      <w:lvlText w:val="o"/>
      <w:lvlJc w:val="left"/>
      <w:pPr>
        <w:ind w:left="6117" w:hanging="360"/>
      </w:pPr>
      <w:rPr>
        <w:rFonts w:ascii="Courier New" w:hAnsi="Courier New" w:cs="Courier New" w:hint="default"/>
      </w:rPr>
    </w:lvl>
    <w:lvl w:ilvl="8" w:tplc="0C090005" w:tentative="1">
      <w:start w:val="1"/>
      <w:numFmt w:val="bullet"/>
      <w:lvlText w:val=""/>
      <w:lvlJc w:val="left"/>
      <w:pPr>
        <w:ind w:left="6837" w:hanging="360"/>
      </w:pPr>
      <w:rPr>
        <w:rFonts w:ascii="Wingdings" w:hAnsi="Wingdings" w:hint="default"/>
      </w:rPr>
    </w:lvl>
  </w:abstractNum>
  <w:abstractNum w:abstractNumId="16">
    <w:nsid w:val="45336824"/>
    <w:multiLevelType w:val="multilevel"/>
    <w:tmpl w:val="464EB3FE"/>
    <w:lvl w:ilvl="0">
      <w:start w:val="1"/>
      <w:numFmt w:val="bullet"/>
      <w:lvlText w:val=""/>
      <w:lvlJc w:val="left"/>
      <w:pPr>
        <w:ind w:left="720" w:hanging="363"/>
      </w:pPr>
      <w:rPr>
        <w:rFonts w:ascii="Symbol" w:hAnsi="Symbol" w:hint="default"/>
        <w:color w:val="auto"/>
      </w:rPr>
    </w:lvl>
    <w:lvl w:ilvl="1">
      <w:start w:val="1"/>
      <w:numFmt w:val="bullet"/>
      <w:lvlText w:val="o"/>
      <w:lvlJc w:val="left"/>
      <w:pPr>
        <w:ind w:left="1077" w:hanging="357"/>
      </w:pPr>
      <w:rPr>
        <w:rFonts w:ascii="Courier New" w:hAnsi="Courier New" w:hint="default"/>
        <w:color w:val="auto"/>
      </w:rPr>
    </w:lvl>
    <w:lvl w:ilvl="2">
      <w:start w:val="1"/>
      <w:numFmt w:val="bullet"/>
      <w:lvlText w:val=""/>
      <w:lvlJc w:val="left"/>
      <w:pPr>
        <w:ind w:left="1435" w:hanging="358"/>
      </w:pPr>
      <w:rPr>
        <w:rFonts w:ascii="Symbol" w:hAnsi="Symbol" w:hint="default"/>
        <w:color w:val="auto"/>
      </w:rPr>
    </w:lvl>
    <w:lvl w:ilvl="3">
      <w:start w:val="1"/>
      <w:numFmt w:val="bullet"/>
      <w:lvlText w:val=""/>
      <w:lvlJc w:val="left"/>
      <w:pPr>
        <w:ind w:left="1809" w:hanging="374"/>
      </w:pPr>
      <w:rPr>
        <w:rFonts w:ascii="Symbol" w:hAnsi="Symbol" w:hint="default"/>
      </w:rPr>
    </w:lvl>
    <w:lvl w:ilvl="4">
      <w:start w:val="1"/>
      <w:numFmt w:val="none"/>
      <w:suff w:val="space"/>
      <w:lvlText w:val="Source:"/>
      <w:lvlJc w:val="left"/>
      <w:pPr>
        <w:ind w:left="0" w:firstLine="0"/>
      </w:pPr>
      <w:rPr>
        <w:rFonts w:hint="default"/>
        <w:b/>
        <w:i w:val="0"/>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8"/>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7">
    <w:nsid w:val="4A0445F4"/>
    <w:multiLevelType w:val="multilevel"/>
    <w:tmpl w:val="94B6B680"/>
    <w:styleLink w:val="Lists"/>
    <w:lvl w:ilvl="0">
      <w:start w:val="1"/>
      <w:numFmt w:val="none"/>
      <w:suff w:val="nothing"/>
      <w:lvlText w:val="%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decimal"/>
      <w:lvlText w:val="(%4)"/>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decimal"/>
      <w:lvlText w:val="%6."/>
      <w:lvlJc w:val="left"/>
      <w:pPr>
        <w:tabs>
          <w:tab w:val="num" w:pos="227"/>
        </w:tabs>
        <w:ind w:left="227" w:hanging="227"/>
      </w:pPr>
      <w:rPr>
        <w:rFonts w:hint="default"/>
      </w:rPr>
    </w:lvl>
    <w:lvl w:ilvl="6">
      <w:start w:val="1"/>
      <w:numFmt w:val="lowerLetter"/>
      <w:lvlText w:val="%7)"/>
      <w:lvlJc w:val="left"/>
      <w:pPr>
        <w:tabs>
          <w:tab w:val="num" w:pos="454"/>
        </w:tabs>
        <w:ind w:left="454" w:hanging="227"/>
      </w:pPr>
      <w:rPr>
        <w:rFonts w:hint="default"/>
      </w:rPr>
    </w:lvl>
    <w:lvl w:ilvl="7">
      <w:start w:val="1"/>
      <w:numFmt w:val="lowerRoman"/>
      <w:lvlText w:val="%8)"/>
      <w:lvlJc w:val="left"/>
      <w:pPr>
        <w:tabs>
          <w:tab w:val="num" w:pos="680"/>
        </w:tabs>
        <w:ind w:left="680" w:hanging="226"/>
      </w:pPr>
      <w:rPr>
        <w:rFonts w:hint="default"/>
      </w:rPr>
    </w:lvl>
    <w:lvl w:ilvl="8">
      <w:start w:val="1"/>
      <w:numFmt w:val="none"/>
      <w:lvlText w:val="%9"/>
      <w:lvlJc w:val="left"/>
      <w:pPr>
        <w:ind w:left="0" w:firstLine="0"/>
      </w:pPr>
      <w:rPr>
        <w:rFonts w:hint="default"/>
      </w:rPr>
    </w:lvl>
  </w:abstractNum>
  <w:abstractNum w:abstractNumId="18">
    <w:nsid w:val="4ADD3D73"/>
    <w:multiLevelType w:val="hybridMultilevel"/>
    <w:tmpl w:val="66068F62"/>
    <w:lvl w:ilvl="0" w:tplc="1B96C2F0">
      <w:start w:val="1"/>
      <w:numFmt w:val="bullet"/>
      <w:lvlText w:val="•"/>
      <w:lvlJc w:val="left"/>
      <w:pPr>
        <w:ind w:left="170"/>
      </w:pPr>
      <w:rPr>
        <w:rFonts w:ascii="Calibri" w:eastAsia="Calibri" w:hAnsi="Calibri" w:cs="Calibri"/>
        <w:b w:val="0"/>
        <w:i w:val="0"/>
        <w:strike w:val="0"/>
        <w:dstrike w:val="0"/>
        <w:color w:val="221F20"/>
        <w:sz w:val="20"/>
        <w:szCs w:val="20"/>
        <w:u w:val="none" w:color="000000"/>
        <w:bdr w:val="none" w:sz="0" w:space="0" w:color="auto"/>
        <w:shd w:val="clear" w:color="auto" w:fill="auto"/>
        <w:vertAlign w:val="baseline"/>
      </w:rPr>
    </w:lvl>
    <w:lvl w:ilvl="1" w:tplc="E8A4932C">
      <w:start w:val="1"/>
      <w:numFmt w:val="bullet"/>
      <w:lvlText w:val="o"/>
      <w:lvlJc w:val="left"/>
      <w:pPr>
        <w:ind w:left="1080"/>
      </w:pPr>
      <w:rPr>
        <w:rFonts w:ascii="Calibri" w:eastAsia="Calibri" w:hAnsi="Calibri" w:cs="Calibri"/>
        <w:b w:val="0"/>
        <w:i w:val="0"/>
        <w:strike w:val="0"/>
        <w:dstrike w:val="0"/>
        <w:color w:val="221F20"/>
        <w:sz w:val="20"/>
        <w:szCs w:val="20"/>
        <w:u w:val="none" w:color="000000"/>
        <w:bdr w:val="none" w:sz="0" w:space="0" w:color="auto"/>
        <w:shd w:val="clear" w:color="auto" w:fill="auto"/>
        <w:vertAlign w:val="baseline"/>
      </w:rPr>
    </w:lvl>
    <w:lvl w:ilvl="2" w:tplc="A8148C46">
      <w:start w:val="1"/>
      <w:numFmt w:val="bullet"/>
      <w:lvlText w:val="▪"/>
      <w:lvlJc w:val="left"/>
      <w:pPr>
        <w:ind w:left="1800"/>
      </w:pPr>
      <w:rPr>
        <w:rFonts w:ascii="Calibri" w:eastAsia="Calibri" w:hAnsi="Calibri" w:cs="Calibri"/>
        <w:b w:val="0"/>
        <w:i w:val="0"/>
        <w:strike w:val="0"/>
        <w:dstrike w:val="0"/>
        <w:color w:val="221F20"/>
        <w:sz w:val="20"/>
        <w:szCs w:val="20"/>
        <w:u w:val="none" w:color="000000"/>
        <w:bdr w:val="none" w:sz="0" w:space="0" w:color="auto"/>
        <w:shd w:val="clear" w:color="auto" w:fill="auto"/>
        <w:vertAlign w:val="baseline"/>
      </w:rPr>
    </w:lvl>
    <w:lvl w:ilvl="3" w:tplc="FBE662B4">
      <w:start w:val="1"/>
      <w:numFmt w:val="bullet"/>
      <w:lvlText w:val="•"/>
      <w:lvlJc w:val="left"/>
      <w:pPr>
        <w:ind w:left="2520"/>
      </w:pPr>
      <w:rPr>
        <w:rFonts w:ascii="Calibri" w:eastAsia="Calibri" w:hAnsi="Calibri" w:cs="Calibri"/>
        <w:b w:val="0"/>
        <w:i w:val="0"/>
        <w:strike w:val="0"/>
        <w:dstrike w:val="0"/>
        <w:color w:val="221F20"/>
        <w:sz w:val="20"/>
        <w:szCs w:val="20"/>
        <w:u w:val="none" w:color="000000"/>
        <w:bdr w:val="none" w:sz="0" w:space="0" w:color="auto"/>
        <w:shd w:val="clear" w:color="auto" w:fill="auto"/>
        <w:vertAlign w:val="baseline"/>
      </w:rPr>
    </w:lvl>
    <w:lvl w:ilvl="4" w:tplc="F4EE1504">
      <w:start w:val="1"/>
      <w:numFmt w:val="bullet"/>
      <w:lvlText w:val="o"/>
      <w:lvlJc w:val="left"/>
      <w:pPr>
        <w:ind w:left="3240"/>
      </w:pPr>
      <w:rPr>
        <w:rFonts w:ascii="Calibri" w:eastAsia="Calibri" w:hAnsi="Calibri" w:cs="Calibri"/>
        <w:b w:val="0"/>
        <w:i w:val="0"/>
        <w:strike w:val="0"/>
        <w:dstrike w:val="0"/>
        <w:color w:val="221F20"/>
        <w:sz w:val="20"/>
        <w:szCs w:val="20"/>
        <w:u w:val="none" w:color="000000"/>
        <w:bdr w:val="none" w:sz="0" w:space="0" w:color="auto"/>
        <w:shd w:val="clear" w:color="auto" w:fill="auto"/>
        <w:vertAlign w:val="baseline"/>
      </w:rPr>
    </w:lvl>
    <w:lvl w:ilvl="5" w:tplc="B02C169C">
      <w:start w:val="1"/>
      <w:numFmt w:val="bullet"/>
      <w:lvlText w:val="▪"/>
      <w:lvlJc w:val="left"/>
      <w:pPr>
        <w:ind w:left="3960"/>
      </w:pPr>
      <w:rPr>
        <w:rFonts w:ascii="Calibri" w:eastAsia="Calibri" w:hAnsi="Calibri" w:cs="Calibri"/>
        <w:b w:val="0"/>
        <w:i w:val="0"/>
        <w:strike w:val="0"/>
        <w:dstrike w:val="0"/>
        <w:color w:val="221F20"/>
        <w:sz w:val="20"/>
        <w:szCs w:val="20"/>
        <w:u w:val="none" w:color="000000"/>
        <w:bdr w:val="none" w:sz="0" w:space="0" w:color="auto"/>
        <w:shd w:val="clear" w:color="auto" w:fill="auto"/>
        <w:vertAlign w:val="baseline"/>
      </w:rPr>
    </w:lvl>
    <w:lvl w:ilvl="6" w:tplc="AEFA279E">
      <w:start w:val="1"/>
      <w:numFmt w:val="bullet"/>
      <w:lvlText w:val="•"/>
      <w:lvlJc w:val="left"/>
      <w:pPr>
        <w:ind w:left="4680"/>
      </w:pPr>
      <w:rPr>
        <w:rFonts w:ascii="Calibri" w:eastAsia="Calibri" w:hAnsi="Calibri" w:cs="Calibri"/>
        <w:b w:val="0"/>
        <w:i w:val="0"/>
        <w:strike w:val="0"/>
        <w:dstrike w:val="0"/>
        <w:color w:val="221F20"/>
        <w:sz w:val="20"/>
        <w:szCs w:val="20"/>
        <w:u w:val="none" w:color="000000"/>
        <w:bdr w:val="none" w:sz="0" w:space="0" w:color="auto"/>
        <w:shd w:val="clear" w:color="auto" w:fill="auto"/>
        <w:vertAlign w:val="baseline"/>
      </w:rPr>
    </w:lvl>
    <w:lvl w:ilvl="7" w:tplc="27C28634">
      <w:start w:val="1"/>
      <w:numFmt w:val="bullet"/>
      <w:lvlText w:val="o"/>
      <w:lvlJc w:val="left"/>
      <w:pPr>
        <w:ind w:left="5400"/>
      </w:pPr>
      <w:rPr>
        <w:rFonts w:ascii="Calibri" w:eastAsia="Calibri" w:hAnsi="Calibri" w:cs="Calibri"/>
        <w:b w:val="0"/>
        <w:i w:val="0"/>
        <w:strike w:val="0"/>
        <w:dstrike w:val="0"/>
        <w:color w:val="221F20"/>
        <w:sz w:val="20"/>
        <w:szCs w:val="20"/>
        <w:u w:val="none" w:color="000000"/>
        <w:bdr w:val="none" w:sz="0" w:space="0" w:color="auto"/>
        <w:shd w:val="clear" w:color="auto" w:fill="auto"/>
        <w:vertAlign w:val="baseline"/>
      </w:rPr>
    </w:lvl>
    <w:lvl w:ilvl="8" w:tplc="FF9CB876">
      <w:start w:val="1"/>
      <w:numFmt w:val="bullet"/>
      <w:lvlText w:val="▪"/>
      <w:lvlJc w:val="left"/>
      <w:pPr>
        <w:ind w:left="6120"/>
      </w:pPr>
      <w:rPr>
        <w:rFonts w:ascii="Calibri" w:eastAsia="Calibri" w:hAnsi="Calibri" w:cs="Calibri"/>
        <w:b w:val="0"/>
        <w:i w:val="0"/>
        <w:strike w:val="0"/>
        <w:dstrike w:val="0"/>
        <w:color w:val="221F20"/>
        <w:sz w:val="20"/>
        <w:szCs w:val="20"/>
        <w:u w:val="none" w:color="000000"/>
        <w:bdr w:val="none" w:sz="0" w:space="0" w:color="auto"/>
        <w:shd w:val="clear" w:color="auto" w:fill="auto"/>
        <w:vertAlign w:val="baseline"/>
      </w:rPr>
    </w:lvl>
  </w:abstractNum>
  <w:abstractNum w:abstractNumId="19">
    <w:nsid w:val="4F320991"/>
    <w:multiLevelType w:val="multilevel"/>
    <w:tmpl w:val="052EF328"/>
    <w:styleLink w:val="CustomList"/>
    <w:lvl w:ilvl="0">
      <w:start w:val="1"/>
      <w:numFmt w:val="bullet"/>
      <w:lvlText w:val=""/>
      <w:lvlJc w:val="left"/>
      <w:pPr>
        <w:ind w:left="717" w:hanging="360"/>
      </w:pPr>
      <w:rPr>
        <w:rFonts w:ascii="Symbol" w:hAnsi="Symbol" w:hint="default"/>
        <w:color w:val="B2B2B2" w:themeColor="accent2"/>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5A426B28"/>
    <w:multiLevelType w:val="multilevel"/>
    <w:tmpl w:val="88E67880"/>
    <w:styleLink w:val="MultiLevelheadinglis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4)"/>
      <w:lvlJc w:val="left"/>
      <w:pPr>
        <w:ind w:left="720" w:hanging="720"/>
      </w:pPr>
      <w:rPr>
        <w:rFonts w:hint="default"/>
      </w:rPr>
    </w:lvl>
    <w:lvl w:ilvl="4">
      <w:start w:val="1"/>
      <w:numFmt w:val="lowerLetter"/>
      <w:lvlText w:val="(%5)"/>
      <w:lvlJc w:val="left"/>
      <w:pPr>
        <w:ind w:left="720" w:hanging="720"/>
      </w:pPr>
      <w:rPr>
        <w:rFonts w:hint="default"/>
      </w:rPr>
    </w:lvl>
    <w:lvl w:ilvl="5">
      <w:start w:val="1"/>
      <w:numFmt w:val="lowerRoman"/>
      <w:lvlText w:val="(%6)"/>
      <w:lvlJc w:val="left"/>
      <w:pPr>
        <w:ind w:left="720" w:hanging="720"/>
      </w:pPr>
      <w:rPr>
        <w:rFonts w:hint="default"/>
      </w:rPr>
    </w:lvl>
    <w:lvl w:ilvl="6">
      <w:start w:val="1"/>
      <w:numFmt w:val="decimal"/>
      <w:lvlText w:val="%7."/>
      <w:lvlJc w:val="left"/>
      <w:pPr>
        <w:ind w:left="720" w:hanging="720"/>
      </w:pPr>
      <w:rPr>
        <w:rFonts w:hint="default"/>
      </w:rPr>
    </w:lvl>
    <w:lvl w:ilvl="7">
      <w:start w:val="1"/>
      <w:numFmt w:val="lowerLetter"/>
      <w:lvlText w:val="%8."/>
      <w:lvlJc w:val="left"/>
      <w:pPr>
        <w:ind w:left="720" w:hanging="720"/>
      </w:pPr>
      <w:rPr>
        <w:rFonts w:hint="default"/>
      </w:rPr>
    </w:lvl>
    <w:lvl w:ilvl="8">
      <w:start w:val="1"/>
      <w:numFmt w:val="lowerRoman"/>
      <w:lvlText w:val="%9."/>
      <w:lvlJc w:val="left"/>
      <w:pPr>
        <w:ind w:left="720" w:hanging="720"/>
      </w:pPr>
      <w:rPr>
        <w:rFonts w:hint="default"/>
      </w:rPr>
    </w:lvl>
  </w:abstractNum>
  <w:abstractNum w:abstractNumId="21">
    <w:nsid w:val="610B3966"/>
    <w:multiLevelType w:val="multilevel"/>
    <w:tmpl w:val="5056580C"/>
    <w:lvl w:ilvl="0">
      <w:start w:val="1"/>
      <w:numFmt w:val="bullet"/>
      <w:pStyle w:val="ListBullet"/>
      <w:lvlText w:val=""/>
      <w:lvlJc w:val="left"/>
      <w:pPr>
        <w:ind w:left="720" w:hanging="363"/>
      </w:pPr>
      <w:rPr>
        <w:rFonts w:ascii="Symbol" w:hAnsi="Symbol" w:hint="default"/>
        <w:color w:val="auto"/>
      </w:rPr>
    </w:lvl>
    <w:lvl w:ilvl="1">
      <w:start w:val="1"/>
      <w:numFmt w:val="bullet"/>
      <w:pStyle w:val="ListBullet2"/>
      <w:lvlText w:val="o"/>
      <w:lvlJc w:val="left"/>
      <w:pPr>
        <w:ind w:left="1077" w:hanging="357"/>
      </w:pPr>
      <w:rPr>
        <w:rFonts w:ascii="Courier New" w:hAnsi="Courier New" w:hint="default"/>
        <w:color w:val="auto"/>
      </w:rPr>
    </w:lvl>
    <w:lvl w:ilvl="2">
      <w:start w:val="1"/>
      <w:numFmt w:val="bullet"/>
      <w:pStyle w:val="ListBullet3"/>
      <w:lvlText w:val=""/>
      <w:lvlJc w:val="left"/>
      <w:pPr>
        <w:ind w:left="1435" w:hanging="358"/>
      </w:pPr>
      <w:rPr>
        <w:rFonts w:ascii="Symbol" w:hAnsi="Symbol" w:hint="default"/>
        <w:color w:val="auto"/>
      </w:rPr>
    </w:lvl>
    <w:lvl w:ilvl="3">
      <w:start w:val="1"/>
      <w:numFmt w:val="bullet"/>
      <w:pStyle w:val="ListBullet4"/>
      <w:lvlText w:val=""/>
      <w:lvlJc w:val="left"/>
      <w:pPr>
        <w:ind w:left="1809" w:hanging="374"/>
      </w:pPr>
      <w:rPr>
        <w:rFonts w:ascii="Symbol" w:hAnsi="Symbol" w:hint="default"/>
      </w:rPr>
    </w:lvl>
    <w:lvl w:ilvl="4">
      <w:start w:val="1"/>
      <w:numFmt w:val="none"/>
      <w:pStyle w:val="Source"/>
      <w:suff w:val="space"/>
      <w:lvlText w:val="Source:"/>
      <w:lvlJc w:val="left"/>
      <w:pPr>
        <w:ind w:left="0" w:firstLine="0"/>
      </w:pPr>
      <w:rPr>
        <w:rFonts w:hint="default"/>
        <w:b/>
        <w:i w:val="0"/>
      </w:rPr>
    </w:lvl>
    <w:lvl w:ilvl="5">
      <w:start w:val="1"/>
      <w:numFmt w:val="none"/>
      <w:pStyle w:val="Note"/>
      <w:suff w:val="space"/>
      <w:lvlText w:val="Note:"/>
      <w:lvlJc w:val="left"/>
      <w:pPr>
        <w:ind w:left="0" w:firstLine="0"/>
      </w:pPr>
      <w:rPr>
        <w:rFonts w:hint="default"/>
        <w:b/>
        <w:i w:val="0"/>
      </w:rPr>
    </w:lvl>
    <w:lvl w:ilvl="6">
      <w:start w:val="1"/>
      <w:numFmt w:val="none"/>
      <w:suff w:val="nothing"/>
      <w:lvlText w:val=""/>
      <w:lvlJc w:val="left"/>
      <w:pPr>
        <w:ind w:left="0" w:firstLine="0"/>
      </w:pPr>
      <w:rPr>
        <w:rFonts w:hint="default"/>
      </w:rPr>
    </w:lvl>
    <w:lvl w:ilvl="7">
      <w:start w:val="1"/>
      <w:numFmt w:val="none"/>
      <w:suff w:val="nothing"/>
      <w:lvlText w:val="%8"/>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2">
    <w:nsid w:val="64363A73"/>
    <w:multiLevelType w:val="multilevel"/>
    <w:tmpl w:val="DD34B774"/>
    <w:lvl w:ilvl="0">
      <w:start w:val="1"/>
      <w:numFmt w:val="none"/>
      <w:pStyle w:val="Heading1"/>
      <w:suff w:val="nothing"/>
      <w:lvlText w:val=""/>
      <w:lvlJc w:val="left"/>
      <w:pPr>
        <w:ind w:left="0" w:firstLine="0"/>
      </w:pPr>
      <w:rPr>
        <w:rFonts w:hint="default"/>
      </w:rPr>
    </w:lvl>
    <w:lvl w:ilvl="1">
      <w:start w:val="1"/>
      <w:numFmt w:val="none"/>
      <w:pStyle w:val="Heading2"/>
      <w:suff w:val="nothing"/>
      <w:lvlText w:val="%2%1"/>
      <w:lvlJc w:val="left"/>
      <w:pPr>
        <w:ind w:left="0" w:firstLine="0"/>
      </w:pPr>
      <w:rPr>
        <w:rFonts w:hint="default"/>
      </w:rPr>
    </w:lvl>
    <w:lvl w:ilvl="2">
      <w:start w:val="1"/>
      <w:numFmt w:val="none"/>
      <w:pStyle w:val="Heading3"/>
      <w:suff w:val="nothing"/>
      <w:lvlText w:val="%3%1"/>
      <w:lvlJc w:val="left"/>
      <w:pPr>
        <w:ind w:left="0" w:firstLine="0"/>
      </w:pPr>
      <w:rPr>
        <w:rFonts w:hint="default"/>
      </w:rPr>
    </w:lvl>
    <w:lvl w:ilvl="3">
      <w:start w:val="1"/>
      <w:numFmt w:val="none"/>
      <w:pStyle w:val="Heading4"/>
      <w:suff w:val="nothing"/>
      <w:lvlText w:val="%4"/>
      <w:lvlJc w:val="left"/>
      <w:pPr>
        <w:ind w:left="0" w:firstLine="0"/>
      </w:pPr>
      <w:rPr>
        <w:rFonts w:hint="default"/>
      </w:rPr>
    </w:lvl>
    <w:lvl w:ilvl="4">
      <w:start w:val="1"/>
      <w:numFmt w:val="upperLetter"/>
      <w:pStyle w:val="AppendixHeading"/>
      <w:suff w:val="space"/>
      <w:lvlText w:val="Appendix %5:"/>
      <w:lvlJc w:val="left"/>
      <w:pPr>
        <w:ind w:left="0" w:firstLine="0"/>
      </w:pPr>
      <w:rPr>
        <w:rFonts w:hint="default"/>
      </w:rPr>
    </w:lvl>
    <w:lvl w:ilvl="5">
      <w:start w:val="1"/>
      <w:numFmt w:val="decimal"/>
      <w:pStyle w:val="OutcomeHeading"/>
      <w:suff w:val="space"/>
      <w:lvlText w:val="Outcome %6:"/>
      <w:lvlJc w:val="left"/>
      <w:pPr>
        <w:ind w:left="0" w:firstLine="0"/>
      </w:pPr>
      <w:rPr>
        <w:rFonts w:hint="default"/>
      </w:rPr>
    </w:lvl>
    <w:lvl w:ilvl="6">
      <w:start w:val="1"/>
      <w:numFmt w:val="decimal"/>
      <w:pStyle w:val="ListNumber"/>
      <w:lvlText w:val="%7."/>
      <w:lvlJc w:val="left"/>
      <w:pPr>
        <w:tabs>
          <w:tab w:val="num" w:pos="357"/>
        </w:tabs>
        <w:ind w:left="357" w:hanging="357"/>
      </w:pPr>
      <w:rPr>
        <w:rFonts w:hint="default"/>
      </w:rPr>
    </w:lvl>
    <w:lvl w:ilvl="7">
      <w:start w:val="1"/>
      <w:numFmt w:val="lowerLetter"/>
      <w:pStyle w:val="ListNumber2"/>
      <w:lvlText w:val="%8)"/>
      <w:lvlJc w:val="left"/>
      <w:pPr>
        <w:tabs>
          <w:tab w:val="num" w:pos="720"/>
        </w:tabs>
        <w:ind w:left="720" w:hanging="363"/>
      </w:pPr>
      <w:rPr>
        <w:rFonts w:hint="default"/>
      </w:rPr>
    </w:lvl>
    <w:lvl w:ilvl="8">
      <w:start w:val="1"/>
      <w:numFmt w:val="lowerRoman"/>
      <w:pStyle w:val="ListNumber3"/>
      <w:lvlText w:val="%9)"/>
      <w:lvlJc w:val="left"/>
      <w:pPr>
        <w:tabs>
          <w:tab w:val="num" w:pos="1077"/>
        </w:tabs>
        <w:ind w:left="1077" w:hanging="357"/>
      </w:pPr>
      <w:rPr>
        <w:rFonts w:hint="default"/>
      </w:rPr>
    </w:lvl>
  </w:abstractNum>
  <w:abstractNum w:abstractNumId="23">
    <w:nsid w:val="66522948"/>
    <w:multiLevelType w:val="hybridMultilevel"/>
    <w:tmpl w:val="DC762AC0"/>
    <w:lvl w:ilvl="0" w:tplc="87D44DEE">
      <w:start w:val="1"/>
      <w:numFmt w:val="bullet"/>
      <w:lvlText w:val="•"/>
      <w:lvlJc w:val="left"/>
      <w:pPr>
        <w:tabs>
          <w:tab w:val="num" w:pos="720"/>
        </w:tabs>
        <w:ind w:left="720" w:hanging="360"/>
      </w:pPr>
      <w:rPr>
        <w:rFonts w:ascii="Times New Roman" w:hAnsi="Times New Roman" w:hint="default"/>
      </w:rPr>
    </w:lvl>
    <w:lvl w:ilvl="1" w:tplc="0394C342" w:tentative="1">
      <w:start w:val="1"/>
      <w:numFmt w:val="bullet"/>
      <w:lvlText w:val="•"/>
      <w:lvlJc w:val="left"/>
      <w:pPr>
        <w:tabs>
          <w:tab w:val="num" w:pos="1440"/>
        </w:tabs>
        <w:ind w:left="1440" w:hanging="360"/>
      </w:pPr>
      <w:rPr>
        <w:rFonts w:ascii="Times New Roman" w:hAnsi="Times New Roman" w:hint="default"/>
      </w:rPr>
    </w:lvl>
    <w:lvl w:ilvl="2" w:tplc="573AB188" w:tentative="1">
      <w:start w:val="1"/>
      <w:numFmt w:val="bullet"/>
      <w:lvlText w:val="•"/>
      <w:lvlJc w:val="left"/>
      <w:pPr>
        <w:tabs>
          <w:tab w:val="num" w:pos="2160"/>
        </w:tabs>
        <w:ind w:left="2160" w:hanging="360"/>
      </w:pPr>
      <w:rPr>
        <w:rFonts w:ascii="Times New Roman" w:hAnsi="Times New Roman" w:hint="default"/>
      </w:rPr>
    </w:lvl>
    <w:lvl w:ilvl="3" w:tplc="1DEEBCFC" w:tentative="1">
      <w:start w:val="1"/>
      <w:numFmt w:val="bullet"/>
      <w:lvlText w:val="•"/>
      <w:lvlJc w:val="left"/>
      <w:pPr>
        <w:tabs>
          <w:tab w:val="num" w:pos="2880"/>
        </w:tabs>
        <w:ind w:left="2880" w:hanging="360"/>
      </w:pPr>
      <w:rPr>
        <w:rFonts w:ascii="Times New Roman" w:hAnsi="Times New Roman" w:hint="default"/>
      </w:rPr>
    </w:lvl>
    <w:lvl w:ilvl="4" w:tplc="95DCA5BE" w:tentative="1">
      <w:start w:val="1"/>
      <w:numFmt w:val="bullet"/>
      <w:lvlText w:val="•"/>
      <w:lvlJc w:val="left"/>
      <w:pPr>
        <w:tabs>
          <w:tab w:val="num" w:pos="3600"/>
        </w:tabs>
        <w:ind w:left="3600" w:hanging="360"/>
      </w:pPr>
      <w:rPr>
        <w:rFonts w:ascii="Times New Roman" w:hAnsi="Times New Roman" w:hint="default"/>
      </w:rPr>
    </w:lvl>
    <w:lvl w:ilvl="5" w:tplc="EC4E1D44" w:tentative="1">
      <w:start w:val="1"/>
      <w:numFmt w:val="bullet"/>
      <w:lvlText w:val="•"/>
      <w:lvlJc w:val="left"/>
      <w:pPr>
        <w:tabs>
          <w:tab w:val="num" w:pos="4320"/>
        </w:tabs>
        <w:ind w:left="4320" w:hanging="360"/>
      </w:pPr>
      <w:rPr>
        <w:rFonts w:ascii="Times New Roman" w:hAnsi="Times New Roman" w:hint="default"/>
      </w:rPr>
    </w:lvl>
    <w:lvl w:ilvl="6" w:tplc="19925844" w:tentative="1">
      <w:start w:val="1"/>
      <w:numFmt w:val="bullet"/>
      <w:lvlText w:val="•"/>
      <w:lvlJc w:val="left"/>
      <w:pPr>
        <w:tabs>
          <w:tab w:val="num" w:pos="5040"/>
        </w:tabs>
        <w:ind w:left="5040" w:hanging="360"/>
      </w:pPr>
      <w:rPr>
        <w:rFonts w:ascii="Times New Roman" w:hAnsi="Times New Roman" w:hint="default"/>
      </w:rPr>
    </w:lvl>
    <w:lvl w:ilvl="7" w:tplc="A7A00F40" w:tentative="1">
      <w:start w:val="1"/>
      <w:numFmt w:val="bullet"/>
      <w:lvlText w:val="•"/>
      <w:lvlJc w:val="left"/>
      <w:pPr>
        <w:tabs>
          <w:tab w:val="num" w:pos="5760"/>
        </w:tabs>
        <w:ind w:left="5760" w:hanging="360"/>
      </w:pPr>
      <w:rPr>
        <w:rFonts w:ascii="Times New Roman" w:hAnsi="Times New Roman" w:hint="default"/>
      </w:rPr>
    </w:lvl>
    <w:lvl w:ilvl="8" w:tplc="754C5F4A" w:tentative="1">
      <w:start w:val="1"/>
      <w:numFmt w:val="bullet"/>
      <w:lvlText w:val="•"/>
      <w:lvlJc w:val="left"/>
      <w:pPr>
        <w:tabs>
          <w:tab w:val="num" w:pos="6480"/>
        </w:tabs>
        <w:ind w:left="6480" w:hanging="360"/>
      </w:pPr>
      <w:rPr>
        <w:rFonts w:ascii="Times New Roman" w:hAnsi="Times New Roman" w:hint="default"/>
      </w:rPr>
    </w:lvl>
  </w:abstractNum>
  <w:abstractNum w:abstractNumId="24">
    <w:nsid w:val="72D81143"/>
    <w:multiLevelType w:val="hybridMultilevel"/>
    <w:tmpl w:val="DA0ECEA2"/>
    <w:lvl w:ilvl="0" w:tplc="90FA73F2">
      <w:start w:val="1"/>
      <w:numFmt w:val="bullet"/>
      <w:lvlText w:val="•"/>
      <w:lvlJc w:val="left"/>
      <w:pPr>
        <w:tabs>
          <w:tab w:val="num" w:pos="720"/>
        </w:tabs>
        <w:ind w:left="720" w:hanging="360"/>
      </w:pPr>
      <w:rPr>
        <w:rFonts w:ascii="Times New Roman" w:hAnsi="Times New Roman" w:hint="default"/>
      </w:rPr>
    </w:lvl>
    <w:lvl w:ilvl="1" w:tplc="A18E6FDE" w:tentative="1">
      <w:start w:val="1"/>
      <w:numFmt w:val="bullet"/>
      <w:lvlText w:val="•"/>
      <w:lvlJc w:val="left"/>
      <w:pPr>
        <w:tabs>
          <w:tab w:val="num" w:pos="1440"/>
        </w:tabs>
        <w:ind w:left="1440" w:hanging="360"/>
      </w:pPr>
      <w:rPr>
        <w:rFonts w:ascii="Times New Roman" w:hAnsi="Times New Roman" w:hint="default"/>
      </w:rPr>
    </w:lvl>
    <w:lvl w:ilvl="2" w:tplc="FBFA61BA" w:tentative="1">
      <w:start w:val="1"/>
      <w:numFmt w:val="bullet"/>
      <w:lvlText w:val="•"/>
      <w:lvlJc w:val="left"/>
      <w:pPr>
        <w:tabs>
          <w:tab w:val="num" w:pos="2160"/>
        </w:tabs>
        <w:ind w:left="2160" w:hanging="360"/>
      </w:pPr>
      <w:rPr>
        <w:rFonts w:ascii="Times New Roman" w:hAnsi="Times New Roman" w:hint="default"/>
      </w:rPr>
    </w:lvl>
    <w:lvl w:ilvl="3" w:tplc="707A7700" w:tentative="1">
      <w:start w:val="1"/>
      <w:numFmt w:val="bullet"/>
      <w:lvlText w:val="•"/>
      <w:lvlJc w:val="left"/>
      <w:pPr>
        <w:tabs>
          <w:tab w:val="num" w:pos="2880"/>
        </w:tabs>
        <w:ind w:left="2880" w:hanging="360"/>
      </w:pPr>
      <w:rPr>
        <w:rFonts w:ascii="Times New Roman" w:hAnsi="Times New Roman" w:hint="default"/>
      </w:rPr>
    </w:lvl>
    <w:lvl w:ilvl="4" w:tplc="D570D1A6" w:tentative="1">
      <w:start w:val="1"/>
      <w:numFmt w:val="bullet"/>
      <w:lvlText w:val="•"/>
      <w:lvlJc w:val="left"/>
      <w:pPr>
        <w:tabs>
          <w:tab w:val="num" w:pos="3600"/>
        </w:tabs>
        <w:ind w:left="3600" w:hanging="360"/>
      </w:pPr>
      <w:rPr>
        <w:rFonts w:ascii="Times New Roman" w:hAnsi="Times New Roman" w:hint="default"/>
      </w:rPr>
    </w:lvl>
    <w:lvl w:ilvl="5" w:tplc="4420F8F0" w:tentative="1">
      <w:start w:val="1"/>
      <w:numFmt w:val="bullet"/>
      <w:lvlText w:val="•"/>
      <w:lvlJc w:val="left"/>
      <w:pPr>
        <w:tabs>
          <w:tab w:val="num" w:pos="4320"/>
        </w:tabs>
        <w:ind w:left="4320" w:hanging="360"/>
      </w:pPr>
      <w:rPr>
        <w:rFonts w:ascii="Times New Roman" w:hAnsi="Times New Roman" w:hint="default"/>
      </w:rPr>
    </w:lvl>
    <w:lvl w:ilvl="6" w:tplc="B4F49CE8" w:tentative="1">
      <w:start w:val="1"/>
      <w:numFmt w:val="bullet"/>
      <w:lvlText w:val="•"/>
      <w:lvlJc w:val="left"/>
      <w:pPr>
        <w:tabs>
          <w:tab w:val="num" w:pos="5040"/>
        </w:tabs>
        <w:ind w:left="5040" w:hanging="360"/>
      </w:pPr>
      <w:rPr>
        <w:rFonts w:ascii="Times New Roman" w:hAnsi="Times New Roman" w:hint="default"/>
      </w:rPr>
    </w:lvl>
    <w:lvl w:ilvl="7" w:tplc="D7C65F64" w:tentative="1">
      <w:start w:val="1"/>
      <w:numFmt w:val="bullet"/>
      <w:lvlText w:val="•"/>
      <w:lvlJc w:val="left"/>
      <w:pPr>
        <w:tabs>
          <w:tab w:val="num" w:pos="5760"/>
        </w:tabs>
        <w:ind w:left="5760" w:hanging="360"/>
      </w:pPr>
      <w:rPr>
        <w:rFonts w:ascii="Times New Roman" w:hAnsi="Times New Roman" w:hint="default"/>
      </w:rPr>
    </w:lvl>
    <w:lvl w:ilvl="8" w:tplc="04AA27AC" w:tentative="1">
      <w:start w:val="1"/>
      <w:numFmt w:val="bullet"/>
      <w:lvlText w:val="•"/>
      <w:lvlJc w:val="left"/>
      <w:pPr>
        <w:tabs>
          <w:tab w:val="num" w:pos="6480"/>
        </w:tabs>
        <w:ind w:left="6480" w:hanging="360"/>
      </w:pPr>
      <w:rPr>
        <w:rFonts w:ascii="Times New Roman" w:hAnsi="Times New Roman" w:hint="default"/>
      </w:rPr>
    </w:lvl>
  </w:abstractNum>
  <w:abstractNum w:abstractNumId="25">
    <w:nsid w:val="72E921FA"/>
    <w:multiLevelType w:val="multilevel"/>
    <w:tmpl w:val="76EA8A18"/>
    <w:lvl w:ilvl="0">
      <w:start w:val="1"/>
      <w:numFmt w:val="decimal"/>
      <w:pStyle w:val="NotesHeading-Level1"/>
      <w:suff w:val="space"/>
      <w:lvlText w:val="Note %1: "/>
      <w:lvlJc w:val="left"/>
      <w:pPr>
        <w:ind w:left="0" w:firstLine="0"/>
      </w:pPr>
      <w:rPr>
        <w:rFonts w:ascii="Arial" w:hAnsi="Arial" w:cs="Arial" w:hint="default"/>
        <w:b/>
        <w:bCs w:val="0"/>
        <w:i w:val="0"/>
        <w:iCs w:val="0"/>
        <w:caps w:val="0"/>
        <w:smallCaps w:val="0"/>
        <w:strike w:val="0"/>
        <w:dstrike w:val="0"/>
        <w:vanish w:val="0"/>
        <w:color w:val="FFFFFF" w:themeColor="background1"/>
        <w:spacing w:val="0"/>
        <w:kern w:val="0"/>
        <w:position w:val="0"/>
        <w:u w:val="none"/>
        <w:vertAlign w:val="baseline"/>
      </w:rPr>
    </w:lvl>
    <w:lvl w:ilvl="1">
      <w:start w:val="1"/>
      <w:numFmt w:val="upperLetter"/>
      <w:pStyle w:val="NotesHeading-Level2"/>
      <w:suff w:val="space"/>
      <w:lvlText w:val="Notes %1%2: "/>
      <w:lvlJc w:val="left"/>
      <w:pPr>
        <w:ind w:left="0" w:firstLine="0"/>
      </w:pPr>
      <w:rPr>
        <w:rFonts w:ascii="Arial" w:hAnsi="Arial" w:cs="Times New Roman" w:hint="default"/>
        <w:b/>
        <w:i w:val="0"/>
        <w:color w:val="auto"/>
        <w:sz w:val="20"/>
        <w:szCs w:val="20"/>
        <w:u w:val="singl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num w:numId="1">
    <w:abstractNumId w:val="12"/>
  </w:num>
  <w:num w:numId="2">
    <w:abstractNumId w:val="13"/>
  </w:num>
  <w:num w:numId="3">
    <w:abstractNumId w:val="9"/>
  </w:num>
  <w:num w:numId="4">
    <w:abstractNumId w:val="7"/>
  </w:num>
  <w:num w:numId="5">
    <w:abstractNumId w:val="8"/>
  </w:num>
  <w:num w:numId="6">
    <w:abstractNumId w:val="9"/>
  </w:num>
  <w:num w:numId="7">
    <w:abstractNumId w:val="9"/>
  </w:num>
  <w:num w:numId="8">
    <w:abstractNumId w:val="3"/>
  </w:num>
  <w:num w:numId="9">
    <w:abstractNumId w:val="2"/>
  </w:num>
  <w:num w:numId="10">
    <w:abstractNumId w:val="17"/>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num>
  <w:num w:numId="15">
    <w:abstractNumId w:val="23"/>
  </w:num>
  <w:num w:numId="16">
    <w:abstractNumId w:val="24"/>
  </w:num>
  <w:num w:numId="17">
    <w:abstractNumId w:val="6"/>
  </w:num>
  <w:num w:numId="18">
    <w:abstractNumId w:val="5"/>
  </w:num>
  <w:num w:numId="19">
    <w:abstractNumId w:val="1"/>
  </w:num>
  <w:num w:numId="20">
    <w:abstractNumId w:val="15"/>
  </w:num>
  <w:num w:numId="21">
    <w:abstractNumId w:val="4"/>
  </w:num>
  <w:num w:numId="22">
    <w:abstractNumId w:val="0"/>
  </w:num>
  <w:num w:numId="23">
    <w:abstractNumId w:val="14"/>
  </w:num>
  <w:num w:numId="24">
    <w:abstractNumId w:val="19"/>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11"/>
  </w:num>
  <w:num w:numId="30">
    <w:abstractNumId w:val="16"/>
  </w:num>
  <w:num w:numId="31">
    <w:abstractNumId w:val="25"/>
  </w:num>
  <w:num w:numId="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num>
  <w:num w:numId="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chelle">
    <w15:presenceInfo w15:providerId="None" w15:userId="Rochel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displayBackgroundShape/>
  <w:proofState w:spelling="clean" w:grammar="clean"/>
  <w:documentProtection w:formatting="1" w:enforcement="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4BBC"/>
    <w:rsid w:val="00003D0E"/>
    <w:rsid w:val="00005976"/>
    <w:rsid w:val="00005D98"/>
    <w:rsid w:val="0003506B"/>
    <w:rsid w:val="00036F9E"/>
    <w:rsid w:val="000413B3"/>
    <w:rsid w:val="00047BFD"/>
    <w:rsid w:val="00051459"/>
    <w:rsid w:val="0005509C"/>
    <w:rsid w:val="0008244F"/>
    <w:rsid w:val="00086F71"/>
    <w:rsid w:val="00095109"/>
    <w:rsid w:val="000A490E"/>
    <w:rsid w:val="000B5DCC"/>
    <w:rsid w:val="000F45CC"/>
    <w:rsid w:val="00117830"/>
    <w:rsid w:val="00120CF3"/>
    <w:rsid w:val="00123576"/>
    <w:rsid w:val="00124B21"/>
    <w:rsid w:val="001338A1"/>
    <w:rsid w:val="001653B6"/>
    <w:rsid w:val="001665EE"/>
    <w:rsid w:val="0018235E"/>
    <w:rsid w:val="001B758D"/>
    <w:rsid w:val="001C5D4A"/>
    <w:rsid w:val="001E0F51"/>
    <w:rsid w:val="001F6E1A"/>
    <w:rsid w:val="001F6EB0"/>
    <w:rsid w:val="0020054F"/>
    <w:rsid w:val="002247A8"/>
    <w:rsid w:val="00240126"/>
    <w:rsid w:val="00252E6A"/>
    <w:rsid w:val="00254AB6"/>
    <w:rsid w:val="00286EAD"/>
    <w:rsid w:val="0029389B"/>
    <w:rsid w:val="002B7504"/>
    <w:rsid w:val="002C0D97"/>
    <w:rsid w:val="002C7065"/>
    <w:rsid w:val="002C7F4A"/>
    <w:rsid w:val="002F4EBA"/>
    <w:rsid w:val="00301352"/>
    <w:rsid w:val="00303D18"/>
    <w:rsid w:val="003130CA"/>
    <w:rsid w:val="00342CE4"/>
    <w:rsid w:val="0035681C"/>
    <w:rsid w:val="00357D23"/>
    <w:rsid w:val="00371F54"/>
    <w:rsid w:val="00380366"/>
    <w:rsid w:val="00383A95"/>
    <w:rsid w:val="003D27CB"/>
    <w:rsid w:val="003F0F0D"/>
    <w:rsid w:val="003F0FE5"/>
    <w:rsid w:val="0040173E"/>
    <w:rsid w:val="00413158"/>
    <w:rsid w:val="00472C86"/>
    <w:rsid w:val="00480570"/>
    <w:rsid w:val="004B584E"/>
    <w:rsid w:val="004E2269"/>
    <w:rsid w:val="00512309"/>
    <w:rsid w:val="0054526E"/>
    <w:rsid w:val="005476B5"/>
    <w:rsid w:val="00547720"/>
    <w:rsid w:val="00552124"/>
    <w:rsid w:val="0058129C"/>
    <w:rsid w:val="005A3F63"/>
    <w:rsid w:val="005B073E"/>
    <w:rsid w:val="005B227F"/>
    <w:rsid w:val="005C0FD3"/>
    <w:rsid w:val="005D5FAE"/>
    <w:rsid w:val="005F29B7"/>
    <w:rsid w:val="00606EAB"/>
    <w:rsid w:val="00606EB5"/>
    <w:rsid w:val="00617FDA"/>
    <w:rsid w:val="00636B8B"/>
    <w:rsid w:val="006427FE"/>
    <w:rsid w:val="00642E59"/>
    <w:rsid w:val="0069375D"/>
    <w:rsid w:val="0069574E"/>
    <w:rsid w:val="006965EA"/>
    <w:rsid w:val="006A1F99"/>
    <w:rsid w:val="006C14FA"/>
    <w:rsid w:val="006F145A"/>
    <w:rsid w:val="006F248C"/>
    <w:rsid w:val="006F27CB"/>
    <w:rsid w:val="006F5865"/>
    <w:rsid w:val="00702BBE"/>
    <w:rsid w:val="00737D9E"/>
    <w:rsid w:val="00757F63"/>
    <w:rsid w:val="007645AE"/>
    <w:rsid w:val="00764992"/>
    <w:rsid w:val="00764C58"/>
    <w:rsid w:val="00767314"/>
    <w:rsid w:val="00773087"/>
    <w:rsid w:val="007924F2"/>
    <w:rsid w:val="007C2CC2"/>
    <w:rsid w:val="007C79AA"/>
    <w:rsid w:val="00802D42"/>
    <w:rsid w:val="00815EB3"/>
    <w:rsid w:val="00816C25"/>
    <w:rsid w:val="00837F53"/>
    <w:rsid w:val="00840E66"/>
    <w:rsid w:val="008455BB"/>
    <w:rsid w:val="00845843"/>
    <w:rsid w:val="00870BC6"/>
    <w:rsid w:val="00885A14"/>
    <w:rsid w:val="0088689B"/>
    <w:rsid w:val="008A3D48"/>
    <w:rsid w:val="008A72D2"/>
    <w:rsid w:val="008B67C4"/>
    <w:rsid w:val="008B6868"/>
    <w:rsid w:val="008C6A43"/>
    <w:rsid w:val="008D080C"/>
    <w:rsid w:val="008E1657"/>
    <w:rsid w:val="00906799"/>
    <w:rsid w:val="00924152"/>
    <w:rsid w:val="0093194D"/>
    <w:rsid w:val="00934C3F"/>
    <w:rsid w:val="00952D4C"/>
    <w:rsid w:val="009979F4"/>
    <w:rsid w:val="009A45B2"/>
    <w:rsid w:val="00A2558C"/>
    <w:rsid w:val="00A33802"/>
    <w:rsid w:val="00A33F67"/>
    <w:rsid w:val="00A62D31"/>
    <w:rsid w:val="00A76C6B"/>
    <w:rsid w:val="00A85055"/>
    <w:rsid w:val="00A97E3B"/>
    <w:rsid w:val="00AB209A"/>
    <w:rsid w:val="00AF129F"/>
    <w:rsid w:val="00B12DC9"/>
    <w:rsid w:val="00B13F84"/>
    <w:rsid w:val="00B15ABA"/>
    <w:rsid w:val="00B42B2F"/>
    <w:rsid w:val="00B86219"/>
    <w:rsid w:val="00B900EA"/>
    <w:rsid w:val="00B90C60"/>
    <w:rsid w:val="00B91069"/>
    <w:rsid w:val="00B95DAF"/>
    <w:rsid w:val="00C00FDA"/>
    <w:rsid w:val="00C34F70"/>
    <w:rsid w:val="00C636DA"/>
    <w:rsid w:val="00C72271"/>
    <w:rsid w:val="00CB4238"/>
    <w:rsid w:val="00CB7582"/>
    <w:rsid w:val="00CC34EB"/>
    <w:rsid w:val="00CE2E48"/>
    <w:rsid w:val="00CF3223"/>
    <w:rsid w:val="00D021F7"/>
    <w:rsid w:val="00D078A2"/>
    <w:rsid w:val="00D12EB7"/>
    <w:rsid w:val="00D461C2"/>
    <w:rsid w:val="00D61AAE"/>
    <w:rsid w:val="00DA4C48"/>
    <w:rsid w:val="00DA727D"/>
    <w:rsid w:val="00DB53A7"/>
    <w:rsid w:val="00DD170F"/>
    <w:rsid w:val="00DE0A8A"/>
    <w:rsid w:val="00DE144B"/>
    <w:rsid w:val="00DE6218"/>
    <w:rsid w:val="00DF6E54"/>
    <w:rsid w:val="00E04228"/>
    <w:rsid w:val="00E04BBC"/>
    <w:rsid w:val="00E159D7"/>
    <w:rsid w:val="00E21653"/>
    <w:rsid w:val="00E331F4"/>
    <w:rsid w:val="00E418DC"/>
    <w:rsid w:val="00E464E1"/>
    <w:rsid w:val="00E76738"/>
    <w:rsid w:val="00E80011"/>
    <w:rsid w:val="00E84A6B"/>
    <w:rsid w:val="00E96DEA"/>
    <w:rsid w:val="00EA48AE"/>
    <w:rsid w:val="00EB4E4C"/>
    <w:rsid w:val="00EE4B97"/>
    <w:rsid w:val="00EF0CF9"/>
    <w:rsid w:val="00EF2A15"/>
    <w:rsid w:val="00EF5BFD"/>
    <w:rsid w:val="00F037D3"/>
    <w:rsid w:val="00F34D63"/>
    <w:rsid w:val="00F76C98"/>
    <w:rsid w:val="00F80750"/>
    <w:rsid w:val="00F835EE"/>
    <w:rsid w:val="00F85F59"/>
    <w:rsid w:val="00F86DD4"/>
    <w:rsid w:val="00FB4CF2"/>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4A0F4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theme="minorBidi"/>
        <w:lang w:val="en-AU" w:eastAsia="en-US" w:bidi="ar-SA"/>
      </w:rPr>
    </w:rPrDefault>
    <w:pPrDefault>
      <w:pPr>
        <w:spacing w:after="113" w:line="276" w:lineRule="auto"/>
      </w:pPr>
    </w:pPrDefault>
  </w:docDefaults>
  <w:latentStyles w:defLockedState="1" w:defUIPriority="99" w:defSemiHidden="1" w:defUnhideWhenUsed="0" w:defQFormat="0" w:count="267">
    <w:lsdException w:name="Normal" w:locked="0" w:semiHidden="0" w:uiPriority="0" w:qFormat="1"/>
    <w:lsdException w:name="heading 1" w:semiHidden="0" w:uiPriority="9" w:qFormat="1"/>
    <w:lsdException w:name="heading 2" w:uiPriority="9" w:unhideWhenUsed="1" w:qFormat="1"/>
    <w:lsdException w:name="heading 3" w:uiPriority="9" w:unhideWhenUsed="1" w:qFormat="1"/>
    <w:lsdException w:name="heading 4" w:locked="0" w:uiPriority="9" w:unhideWhenUsed="1" w:qFormat="1"/>
    <w:lsdException w:name="heading 5" w:uiPriority="9"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semiHidden="0" w:uiPriority="39"/>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unhideWhenUsed="1"/>
    <w:lsdException w:name="footnote text" w:locked="0" w:semiHidden="0"/>
    <w:lsdException w:name="annotation text" w:unhideWhenUsed="1"/>
    <w:lsdException w:name="header" w:locked="0" w:semiHidden="0"/>
    <w:lsdException w:name="footer" w:locked="0" w:semiHidden="0"/>
    <w:lsdException w:name="index heading" w:unhideWhenUsed="1"/>
    <w:lsdException w:name="caption" w:semiHidden="0" w:uiPriority="35" w:qFormat="1"/>
    <w:lsdException w:name="table of figures" w:unhideWhenUsed="1"/>
    <w:lsdException w:name="envelope address" w:unhideWhenUsed="1"/>
    <w:lsdException w:name="envelope return" w:unhideWhenUsed="1"/>
    <w:lsdException w:name="footnote reference" w:locked="0" w:semiHidden="0"/>
    <w:lsdException w:name="annotation reference" w:unhideWhenUsed="1"/>
    <w:lsdException w:name="line number" w:unhideWhenUsed="1"/>
    <w:lsdException w:name="page number" w:unhideWhenUsed="1"/>
    <w:lsdException w:name="endnote reference" w:locked="0" w:semiHidden="0"/>
    <w:lsdException w:name="endnote text" w:locked="0" w:semiHidden="0"/>
    <w:lsdException w:name="table of authorities" w:unhideWhenUsed="1"/>
    <w:lsdException w:name="macro" w:unhideWhenUsed="1"/>
    <w:lsdException w:name="toa heading" w:unhideWhenUsed="1"/>
    <w:lsdException w:name="List" w:unhideWhenUsed="1"/>
    <w:lsdException w:name="List Bullet" w:semiHidden="0" w:qFormat="1"/>
    <w:lsdException w:name="List Number" w:semiHidden="0" w:uiPriority="16" w:qFormat="1"/>
    <w:lsdException w:name="List 2" w:unhideWhenUsed="1"/>
    <w:lsdException w:name="List 3" w:unhideWhenUsed="1"/>
    <w:lsdException w:name="List 4" w:unhideWhenUsed="1"/>
    <w:lsdException w:name="List 5" w:unhideWhenUsed="1"/>
    <w:lsdException w:name="List Bullet 2" w:semiHidden="0" w:qFormat="1"/>
    <w:lsdException w:name="List Bullet 3" w:semiHidden="0" w:qFormat="1"/>
    <w:lsdException w:name="List Bullet 4" w:semiHidden="0" w:qFormat="1"/>
    <w:lsdException w:name="List Number 2" w:semiHidden="0" w:uiPriority="16" w:qFormat="1"/>
    <w:lsdException w:name="List Number 3" w:semiHidden="0" w:uiPriority="16" w:qFormat="1"/>
    <w:lsdException w:name="List Number 4" w:semiHidden="0" w:uiPriority="16"/>
    <w:lsdException w:name="Title" w:semiHidden="0" w:uiPriority="10"/>
    <w:lsdException w:name="Closing" w:unhideWhenUsed="1"/>
    <w:lsdException w:name="Signature" w:unhideWhenUsed="1"/>
    <w:lsdException w:name="Default Paragraph Font" w:locked="0" w:uiPriority="1" w:unhideWhenUsed="1"/>
    <w:lsdException w:name="Body Text" w:unhideWhenUsed="1" w:qFormat="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uiPriority="11" w:unhideWhenUsed="1"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locked="0" w:unhideWhenUsed="1"/>
    <w:lsdException w:name="FollowedHyperlink" w:locked="0" w:semiHidden="0"/>
    <w:lsdException w:name="Strong" w:semiHidden="0" w:uiPriority="22" w:qFormat="1"/>
    <w:lsdException w:name="Emphasis" w:semiHidden="0" w:uiPriority="20" w:qFormat="1"/>
    <w:lsdException w:name="Document Map" w:unhideWhenUsed="1"/>
    <w:lsdException w:name="Plain Text" w:unhideWhenUsed="1"/>
    <w:lsdException w:name="E-mail Signature" w:unhideWhenUsed="1"/>
    <w:lsdException w:name="HTML Top of Form" w:locked="0" w:unhideWhenUsed="1"/>
    <w:lsdException w:name="HTML Bottom of Form" w:locked="0"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locked="0" w:unhideWhenUsed="1"/>
    <w:lsdException w:name="annotation subject" w:unhideWhenUsed="1"/>
    <w:lsdException w:name="No List" w:locked="0"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uiPriority="59"/>
    <w:lsdException w:name="Table Theme" w:unhideWhenUsed="1"/>
    <w:lsdException w:name="Placeholder Text" w:unhideWhenUsed="1"/>
    <w:lsdException w:name="No Spacing" w:uiPriority="1" w:unhideWhenUsed="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locked="0"/>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semiHidden="0" w:uiPriority="39"/>
  </w:latentStyles>
  <w:style w:type="paragraph" w:default="1" w:styleId="Normal">
    <w:name w:val="Normal"/>
    <w:uiPriority w:val="19"/>
    <w:qFormat/>
    <w:rsid w:val="00E331F4"/>
  </w:style>
  <w:style w:type="paragraph" w:styleId="Heading1">
    <w:name w:val="heading 1"/>
    <w:basedOn w:val="Normal"/>
    <w:next w:val="BodyText"/>
    <w:link w:val="Heading1Char"/>
    <w:uiPriority w:val="3"/>
    <w:qFormat/>
    <w:rsid w:val="00840E66"/>
    <w:pPr>
      <w:keepNext/>
      <w:keepLines/>
      <w:numPr>
        <w:numId w:val="35"/>
      </w:numPr>
      <w:spacing w:before="240" w:after="60"/>
      <w:outlineLvl w:val="0"/>
    </w:pPr>
    <w:rPr>
      <w:rFonts w:eastAsiaTheme="majorEastAsia" w:cstheme="majorBidi"/>
      <w:bCs/>
      <w:sz w:val="36"/>
      <w:szCs w:val="28"/>
    </w:rPr>
  </w:style>
  <w:style w:type="paragraph" w:styleId="Heading2">
    <w:name w:val="heading 2"/>
    <w:basedOn w:val="Normal"/>
    <w:next w:val="BodyText"/>
    <w:link w:val="Heading2Char"/>
    <w:uiPriority w:val="3"/>
    <w:qFormat/>
    <w:rsid w:val="00840E66"/>
    <w:pPr>
      <w:keepNext/>
      <w:keepLines/>
      <w:numPr>
        <w:ilvl w:val="1"/>
        <w:numId w:val="35"/>
      </w:numPr>
      <w:spacing w:before="240"/>
      <w:outlineLvl w:val="1"/>
    </w:pPr>
    <w:rPr>
      <w:rFonts w:asciiTheme="majorHAnsi" w:eastAsiaTheme="majorEastAsia" w:hAnsiTheme="majorHAnsi" w:cstheme="majorBidi"/>
      <w:bCs/>
      <w:color w:val="000000" w:themeColor="text1"/>
      <w:sz w:val="28"/>
      <w:szCs w:val="26"/>
    </w:rPr>
  </w:style>
  <w:style w:type="paragraph" w:styleId="Heading3">
    <w:name w:val="heading 3"/>
    <w:basedOn w:val="Normal"/>
    <w:next w:val="BodyText"/>
    <w:link w:val="Heading3Char"/>
    <w:uiPriority w:val="3"/>
    <w:qFormat/>
    <w:rsid w:val="00840E66"/>
    <w:pPr>
      <w:keepNext/>
      <w:keepLines/>
      <w:numPr>
        <w:ilvl w:val="2"/>
        <w:numId w:val="35"/>
      </w:numPr>
      <w:spacing w:before="170"/>
      <w:outlineLvl w:val="2"/>
    </w:pPr>
    <w:rPr>
      <w:rFonts w:asciiTheme="majorHAnsi" w:eastAsiaTheme="majorEastAsia" w:hAnsiTheme="majorHAnsi" w:cstheme="majorBidi"/>
      <w:b/>
      <w:bCs/>
      <w:i/>
      <w:color w:val="000000" w:themeColor="text1"/>
      <w:sz w:val="24"/>
    </w:rPr>
  </w:style>
  <w:style w:type="paragraph" w:styleId="Heading4">
    <w:name w:val="heading 4"/>
    <w:basedOn w:val="Normal"/>
    <w:next w:val="BodyText"/>
    <w:link w:val="Heading4Char"/>
    <w:uiPriority w:val="3"/>
    <w:qFormat/>
    <w:rsid w:val="00120CF3"/>
    <w:pPr>
      <w:keepNext/>
      <w:keepLines/>
      <w:numPr>
        <w:ilvl w:val="3"/>
        <w:numId w:val="35"/>
      </w:numPr>
      <w:spacing w:before="113" w:after="57"/>
      <w:outlineLvl w:val="3"/>
    </w:pPr>
    <w:rPr>
      <w:rFonts w:asciiTheme="majorHAnsi" w:eastAsiaTheme="majorEastAsia" w:hAnsiTheme="majorHAnsi" w:cstheme="majorBidi"/>
      <w:b/>
      <w:bCs/>
      <w:iCs/>
      <w:color w:val="000000" w:themeColor="text1"/>
    </w:rPr>
  </w:style>
  <w:style w:type="paragraph" w:styleId="Heading5">
    <w:name w:val="heading 5"/>
    <w:basedOn w:val="Normal"/>
    <w:next w:val="Normal"/>
    <w:link w:val="Heading5Char"/>
    <w:uiPriority w:val="9"/>
    <w:semiHidden/>
    <w:qFormat/>
    <w:locked/>
    <w:rsid w:val="00F80750"/>
    <w:pPr>
      <w:keepNext/>
      <w:keepLines/>
      <w:spacing w:before="200" w:after="0"/>
      <w:outlineLvl w:val="4"/>
    </w:pPr>
    <w:rPr>
      <w:rFonts w:asciiTheme="majorHAnsi" w:eastAsiaTheme="majorEastAsia" w:hAnsiTheme="majorHAnsi" w:cstheme="majorBidi"/>
      <w:color w:val="6E6E6E" w:themeColor="accent1" w:themeShade="7F"/>
    </w:rPr>
  </w:style>
  <w:style w:type="paragraph" w:styleId="Heading6">
    <w:name w:val="heading 6"/>
    <w:basedOn w:val="Normal"/>
    <w:next w:val="Normal"/>
    <w:link w:val="Heading6Char"/>
    <w:uiPriority w:val="9"/>
    <w:semiHidden/>
    <w:unhideWhenUsed/>
    <w:qFormat/>
    <w:locked/>
    <w:rsid w:val="00F80750"/>
    <w:pPr>
      <w:keepNext/>
      <w:keepLines/>
      <w:spacing w:before="200" w:after="0"/>
      <w:outlineLvl w:val="5"/>
    </w:pPr>
    <w:rPr>
      <w:rFonts w:asciiTheme="majorHAnsi" w:eastAsiaTheme="majorEastAsia" w:hAnsiTheme="majorHAnsi" w:cstheme="majorBidi"/>
      <w:i/>
      <w:iCs/>
      <w:color w:val="6E6E6E" w:themeColor="accent1" w:themeShade="7F"/>
    </w:rPr>
  </w:style>
  <w:style w:type="paragraph" w:styleId="Heading7">
    <w:name w:val="heading 7"/>
    <w:basedOn w:val="Normal"/>
    <w:next w:val="Normal"/>
    <w:link w:val="Heading7Char"/>
    <w:uiPriority w:val="9"/>
    <w:semiHidden/>
    <w:unhideWhenUsed/>
    <w:qFormat/>
    <w:locked/>
    <w:rsid w:val="00F80750"/>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locked/>
    <w:rsid w:val="00F80750"/>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Normal"/>
    <w:next w:val="Normal"/>
    <w:link w:val="Heading9Char"/>
    <w:uiPriority w:val="9"/>
    <w:semiHidden/>
    <w:unhideWhenUsed/>
    <w:qFormat/>
    <w:locked/>
    <w:rsid w:val="00F80750"/>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3"/>
    <w:rsid w:val="00E331F4"/>
    <w:rPr>
      <w:rFonts w:eastAsiaTheme="majorEastAsia" w:cstheme="majorBidi"/>
      <w:bCs/>
      <w:sz w:val="36"/>
      <w:szCs w:val="28"/>
    </w:rPr>
  </w:style>
  <w:style w:type="character" w:customStyle="1" w:styleId="Heading2Char">
    <w:name w:val="Heading 2 Char"/>
    <w:basedOn w:val="DefaultParagraphFont"/>
    <w:link w:val="Heading2"/>
    <w:uiPriority w:val="3"/>
    <w:rsid w:val="00E331F4"/>
    <w:rPr>
      <w:rFonts w:asciiTheme="majorHAnsi" w:eastAsiaTheme="majorEastAsia" w:hAnsiTheme="majorHAnsi" w:cstheme="majorBidi"/>
      <w:bCs/>
      <w:color w:val="000000" w:themeColor="text1"/>
      <w:sz w:val="28"/>
      <w:szCs w:val="26"/>
    </w:rPr>
  </w:style>
  <w:style w:type="character" w:customStyle="1" w:styleId="Heading3Char">
    <w:name w:val="Heading 3 Char"/>
    <w:basedOn w:val="DefaultParagraphFont"/>
    <w:link w:val="Heading3"/>
    <w:uiPriority w:val="3"/>
    <w:rsid w:val="0003506B"/>
    <w:rPr>
      <w:rFonts w:asciiTheme="majorHAnsi" w:eastAsiaTheme="majorEastAsia" w:hAnsiTheme="majorHAnsi" w:cstheme="majorBidi"/>
      <w:b/>
      <w:bCs/>
      <w:i/>
      <w:color w:val="000000" w:themeColor="text1"/>
      <w:sz w:val="24"/>
    </w:rPr>
  </w:style>
  <w:style w:type="paragraph" w:customStyle="1" w:styleId="CoverSubtitle">
    <w:name w:val="Cover Subtitle"/>
    <w:basedOn w:val="Title"/>
    <w:next w:val="CoverIntroductionText"/>
    <w:uiPriority w:val="99"/>
    <w:rsid w:val="00737D9E"/>
    <w:pPr>
      <w:spacing w:before="0" w:after="360"/>
    </w:pPr>
  </w:style>
  <w:style w:type="paragraph" w:customStyle="1" w:styleId="BodyBold">
    <w:name w:val="Body Bold"/>
    <w:basedOn w:val="Normal"/>
    <w:uiPriority w:val="5"/>
    <w:qFormat/>
    <w:rsid w:val="008D080C"/>
    <w:rPr>
      <w:b/>
    </w:rPr>
  </w:style>
  <w:style w:type="paragraph" w:customStyle="1" w:styleId="BodyBullet1">
    <w:name w:val="Body Bullet 1"/>
    <w:basedOn w:val="Normal"/>
    <w:semiHidden/>
    <w:qFormat/>
    <w:locked/>
    <w:rsid w:val="008A72D2"/>
    <w:pPr>
      <w:numPr>
        <w:numId w:val="1"/>
      </w:numPr>
      <w:spacing w:line="240" w:lineRule="atLeast"/>
      <w:ind w:left="714" w:hanging="357"/>
      <w:contextualSpacing/>
    </w:pPr>
  </w:style>
  <w:style w:type="paragraph" w:customStyle="1" w:styleId="BodyBullet2">
    <w:name w:val="Body Bullet 2"/>
    <w:basedOn w:val="BodyBullet1"/>
    <w:semiHidden/>
    <w:qFormat/>
    <w:locked/>
    <w:rsid w:val="008A72D2"/>
    <w:pPr>
      <w:numPr>
        <w:numId w:val="2"/>
      </w:numPr>
      <w:ind w:hanging="357"/>
    </w:pPr>
  </w:style>
  <w:style w:type="paragraph" w:customStyle="1" w:styleId="SubHeading">
    <w:name w:val="Sub Heading"/>
    <w:basedOn w:val="SUBJECT"/>
    <w:uiPriority w:val="9"/>
    <w:qFormat/>
    <w:rsid w:val="00A33F67"/>
    <w:pPr>
      <w:spacing w:before="240" w:after="120"/>
    </w:pPr>
  </w:style>
  <w:style w:type="character" w:customStyle="1" w:styleId="BoldCharacter">
    <w:name w:val="Bold Character"/>
    <w:basedOn w:val="DefaultParagraphFont"/>
    <w:uiPriority w:val="5"/>
    <w:qFormat/>
    <w:rsid w:val="003F0F0D"/>
    <w:rPr>
      <w:b/>
      <w:noProof w:val="0"/>
      <w:lang w:val="en-AU"/>
    </w:rPr>
  </w:style>
  <w:style w:type="character" w:customStyle="1" w:styleId="ItalicCharacter">
    <w:name w:val="Italic Character"/>
    <w:basedOn w:val="DefaultParagraphFont"/>
    <w:uiPriority w:val="5"/>
    <w:qFormat/>
    <w:rsid w:val="003F0F0D"/>
    <w:rPr>
      <w:i/>
      <w:noProof w:val="0"/>
      <w:lang w:val="en-AU"/>
    </w:rPr>
  </w:style>
  <w:style w:type="paragraph" w:customStyle="1" w:styleId="Italic">
    <w:name w:val="Italic"/>
    <w:basedOn w:val="Normal"/>
    <w:uiPriority w:val="5"/>
    <w:qFormat/>
    <w:rsid w:val="008D080C"/>
    <w:rPr>
      <w:i/>
    </w:rPr>
  </w:style>
  <w:style w:type="paragraph" w:customStyle="1" w:styleId="CoverIntroductionText">
    <w:name w:val="Cover Introduction Text"/>
    <w:basedOn w:val="Normal"/>
    <w:uiPriority w:val="99"/>
    <w:qFormat/>
    <w:rsid w:val="005C0FD3"/>
    <w:rPr>
      <w:spacing w:val="-2"/>
    </w:rPr>
  </w:style>
  <w:style w:type="character" w:customStyle="1" w:styleId="Heading4Char">
    <w:name w:val="Heading 4 Char"/>
    <w:basedOn w:val="DefaultParagraphFont"/>
    <w:link w:val="Heading4"/>
    <w:uiPriority w:val="3"/>
    <w:rsid w:val="0003506B"/>
    <w:rPr>
      <w:rFonts w:asciiTheme="majorHAnsi" w:eastAsiaTheme="majorEastAsia" w:hAnsiTheme="majorHAnsi" w:cstheme="majorBidi"/>
      <w:b/>
      <w:bCs/>
      <w:iCs/>
      <w:color w:val="000000" w:themeColor="text1"/>
    </w:rPr>
  </w:style>
  <w:style w:type="paragraph" w:styleId="ListBullet">
    <w:name w:val="List Bullet"/>
    <w:basedOn w:val="Normal"/>
    <w:uiPriority w:val="9"/>
    <w:qFormat/>
    <w:rsid w:val="00301352"/>
    <w:pPr>
      <w:numPr>
        <w:numId w:val="28"/>
      </w:numPr>
    </w:pPr>
  </w:style>
  <w:style w:type="paragraph" w:styleId="ListBullet2">
    <w:name w:val="List Bullet 2"/>
    <w:basedOn w:val="ListBullet"/>
    <w:uiPriority w:val="9"/>
    <w:qFormat/>
    <w:rsid w:val="00301352"/>
    <w:pPr>
      <w:numPr>
        <w:ilvl w:val="1"/>
      </w:numPr>
    </w:pPr>
    <w:rPr>
      <w:color w:val="000000" w:themeColor="text1"/>
    </w:rPr>
  </w:style>
  <w:style w:type="paragraph" w:styleId="ListNumber">
    <w:name w:val="List Number"/>
    <w:basedOn w:val="Normal"/>
    <w:uiPriority w:val="9"/>
    <w:qFormat/>
    <w:rsid w:val="00E84A6B"/>
    <w:pPr>
      <w:numPr>
        <w:ilvl w:val="6"/>
        <w:numId w:val="35"/>
      </w:numPr>
    </w:pPr>
  </w:style>
  <w:style w:type="paragraph" w:styleId="ListNumber2">
    <w:name w:val="List Number 2"/>
    <w:basedOn w:val="Normal"/>
    <w:uiPriority w:val="9"/>
    <w:qFormat/>
    <w:rsid w:val="00E84A6B"/>
    <w:pPr>
      <w:numPr>
        <w:ilvl w:val="7"/>
        <w:numId w:val="35"/>
      </w:numPr>
    </w:pPr>
  </w:style>
  <w:style w:type="numbering" w:customStyle="1" w:styleId="Lists">
    <w:name w:val="Lists"/>
    <w:uiPriority w:val="99"/>
    <w:locked/>
    <w:rsid w:val="00CB4238"/>
    <w:pPr>
      <w:numPr>
        <w:numId w:val="10"/>
      </w:numPr>
    </w:pPr>
  </w:style>
  <w:style w:type="paragraph" w:styleId="ListNumber3">
    <w:name w:val="List Number 3"/>
    <w:basedOn w:val="Normal"/>
    <w:uiPriority w:val="9"/>
    <w:qFormat/>
    <w:rsid w:val="00EA48AE"/>
    <w:pPr>
      <w:numPr>
        <w:ilvl w:val="8"/>
        <w:numId w:val="35"/>
      </w:numPr>
    </w:pPr>
  </w:style>
  <w:style w:type="paragraph" w:styleId="Title">
    <w:name w:val="Title"/>
    <w:basedOn w:val="Normal"/>
    <w:next w:val="CoverSubtitle"/>
    <w:link w:val="TitleChar"/>
    <w:uiPriority w:val="99"/>
    <w:rsid w:val="00737D9E"/>
    <w:pPr>
      <w:spacing w:before="240" w:after="60"/>
    </w:pPr>
    <w:rPr>
      <w:rFonts w:eastAsiaTheme="majorEastAsia" w:cstheme="majorBidi"/>
      <w:color w:val="000000" w:themeColor="text2"/>
      <w:spacing w:val="-5"/>
      <w:sz w:val="44"/>
      <w:szCs w:val="52"/>
    </w:rPr>
  </w:style>
  <w:style w:type="character" w:customStyle="1" w:styleId="TitleChar">
    <w:name w:val="Title Char"/>
    <w:basedOn w:val="DefaultParagraphFont"/>
    <w:link w:val="Title"/>
    <w:uiPriority w:val="99"/>
    <w:rsid w:val="0003506B"/>
    <w:rPr>
      <w:rFonts w:eastAsiaTheme="majorEastAsia" w:cstheme="majorBidi"/>
      <w:color w:val="000000" w:themeColor="text2"/>
      <w:spacing w:val="-5"/>
      <w:sz w:val="44"/>
      <w:szCs w:val="52"/>
    </w:rPr>
  </w:style>
  <w:style w:type="paragraph" w:customStyle="1" w:styleId="InsertImage">
    <w:name w:val="Insert Image"/>
    <w:basedOn w:val="Normal"/>
    <w:next w:val="Caption"/>
    <w:semiHidden/>
    <w:qFormat/>
    <w:locked/>
    <w:rsid w:val="00EA48AE"/>
    <w:pPr>
      <w:spacing w:line="240" w:lineRule="auto"/>
    </w:pPr>
  </w:style>
  <w:style w:type="numbering" w:customStyle="1" w:styleId="MultiLevelheadinglist">
    <w:name w:val="Multi Level heading list"/>
    <w:uiPriority w:val="99"/>
    <w:rsid w:val="00D461C2"/>
    <w:pPr>
      <w:numPr>
        <w:numId w:val="12"/>
      </w:numPr>
    </w:pPr>
  </w:style>
  <w:style w:type="paragraph" w:styleId="TOC1">
    <w:name w:val="toc 1"/>
    <w:basedOn w:val="Normal"/>
    <w:next w:val="Normal"/>
    <w:autoRedefine/>
    <w:uiPriority w:val="39"/>
    <w:rsid w:val="001B758D"/>
    <w:pPr>
      <w:tabs>
        <w:tab w:val="left" w:pos="440"/>
        <w:tab w:val="right" w:leader="dot" w:pos="7655"/>
      </w:tabs>
      <w:spacing w:before="57" w:after="57"/>
    </w:pPr>
    <w:rPr>
      <w:color w:val="000000" w:themeColor="text1"/>
      <w:sz w:val="18"/>
    </w:rPr>
  </w:style>
  <w:style w:type="paragraph" w:styleId="TOCHeading">
    <w:name w:val="TOC Heading"/>
    <w:basedOn w:val="Heading1"/>
    <w:next w:val="Normal"/>
    <w:uiPriority w:val="39"/>
    <w:rsid w:val="00B86219"/>
    <w:pPr>
      <w:spacing w:before="0"/>
      <w:outlineLvl w:val="9"/>
    </w:pPr>
    <w:rPr>
      <w:b/>
    </w:rPr>
  </w:style>
  <w:style w:type="paragraph" w:styleId="Footer">
    <w:name w:val="footer"/>
    <w:basedOn w:val="Normal"/>
    <w:link w:val="FooterChar"/>
    <w:uiPriority w:val="99"/>
    <w:rsid w:val="002F4EBA"/>
    <w:pPr>
      <w:tabs>
        <w:tab w:val="center" w:pos="4513"/>
        <w:tab w:val="right" w:pos="9026"/>
      </w:tabs>
      <w:spacing w:line="200" w:lineRule="exact"/>
    </w:pPr>
    <w:rPr>
      <w:rFonts w:asciiTheme="majorHAnsi" w:hAnsiTheme="majorHAnsi"/>
      <w:color w:val="777777"/>
      <w:spacing w:val="-20"/>
      <w:sz w:val="15"/>
    </w:rPr>
  </w:style>
  <w:style w:type="character" w:customStyle="1" w:styleId="FooterChar">
    <w:name w:val="Footer Char"/>
    <w:basedOn w:val="DefaultParagraphFont"/>
    <w:link w:val="Footer"/>
    <w:uiPriority w:val="99"/>
    <w:rsid w:val="002F4EBA"/>
    <w:rPr>
      <w:rFonts w:asciiTheme="majorHAnsi" w:hAnsiTheme="majorHAnsi"/>
      <w:color w:val="777777"/>
      <w:spacing w:val="-20"/>
      <w:sz w:val="15"/>
    </w:rPr>
  </w:style>
  <w:style w:type="paragraph" w:styleId="ListBullet3">
    <w:name w:val="List Bullet 3"/>
    <w:basedOn w:val="Normal"/>
    <w:uiPriority w:val="9"/>
    <w:qFormat/>
    <w:rsid w:val="00301352"/>
    <w:pPr>
      <w:numPr>
        <w:ilvl w:val="2"/>
        <w:numId w:val="28"/>
      </w:numPr>
      <w:contextualSpacing/>
    </w:pPr>
  </w:style>
  <w:style w:type="paragraph" w:styleId="ListBullet4">
    <w:name w:val="List Bullet 4"/>
    <w:basedOn w:val="Normal"/>
    <w:uiPriority w:val="9"/>
    <w:qFormat/>
    <w:rsid w:val="00301352"/>
    <w:pPr>
      <w:numPr>
        <w:ilvl w:val="3"/>
        <w:numId w:val="28"/>
      </w:numPr>
      <w:contextualSpacing/>
    </w:pPr>
  </w:style>
  <w:style w:type="table" w:styleId="TableGrid">
    <w:name w:val="Table Grid"/>
    <w:basedOn w:val="TableNormal"/>
    <w:uiPriority w:val="59"/>
    <w:locked/>
    <w:rsid w:val="00413158"/>
    <w:pPr>
      <w:spacing w:before="57" w:line="240" w:lineRule="auto"/>
      <w:ind w:left="108" w:right="108"/>
    </w:pPr>
    <w:rPr>
      <w:sz w:val="17"/>
    </w:rPr>
    <w:tblP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
    <w:tcPr>
      <w:tcMar>
        <w:left w:w="0" w:type="dxa"/>
        <w:right w:w="0" w:type="dxa"/>
      </w:tcMar>
    </w:tcPr>
    <w:tblStylePr w:type="firstRow">
      <w:pPr>
        <w:wordWrap/>
        <w:spacing w:beforeLines="0" w:before="57" w:beforeAutospacing="0"/>
        <w:jc w:val="left"/>
      </w:pPr>
      <w:rPr>
        <w:rFonts w:asciiTheme="majorHAnsi" w:hAnsiTheme="majorHAnsi"/>
        <w:b/>
        <w:caps/>
        <w:smallCaps w:val="0"/>
        <w:sz w:val="20"/>
      </w:rPr>
      <w:tblPr/>
      <w:trPr>
        <w:tblHeader/>
      </w:trPr>
    </w:tblStylePr>
    <w:tblStylePr w:type="lastRow">
      <w:rPr>
        <w:b/>
      </w:rPr>
    </w:tblStylePr>
    <w:tblStylePr w:type="firstCol">
      <w:rPr>
        <w:b/>
        <w:caps/>
        <w:smallCaps w:val="0"/>
        <w:sz w:val="20"/>
      </w:rPr>
    </w:tblStylePr>
    <w:tblStylePr w:type="lastCol">
      <w:pPr>
        <w:jc w:val="right"/>
      </w:pPr>
    </w:tblStylePr>
  </w:style>
  <w:style w:type="paragraph" w:styleId="Caption">
    <w:name w:val="caption"/>
    <w:basedOn w:val="Normal"/>
    <w:next w:val="Normal"/>
    <w:uiPriority w:val="35"/>
    <w:qFormat/>
    <w:rsid w:val="0035681C"/>
    <w:pPr>
      <w:spacing w:before="113" w:after="240"/>
    </w:pPr>
    <w:rPr>
      <w:b/>
      <w:bCs/>
      <w:szCs w:val="18"/>
    </w:rPr>
  </w:style>
  <w:style w:type="paragraph" w:styleId="Header">
    <w:name w:val="header"/>
    <w:basedOn w:val="Normal"/>
    <w:link w:val="HeaderChar"/>
    <w:uiPriority w:val="99"/>
    <w:rsid w:val="00A33802"/>
    <w:pPr>
      <w:tabs>
        <w:tab w:val="center" w:pos="4513"/>
        <w:tab w:val="right" w:pos="9026"/>
      </w:tabs>
      <w:spacing w:after="0" w:line="240" w:lineRule="auto"/>
      <w:jc w:val="right"/>
    </w:pPr>
  </w:style>
  <w:style w:type="character" w:customStyle="1" w:styleId="HeaderChar">
    <w:name w:val="Header Char"/>
    <w:basedOn w:val="DefaultParagraphFont"/>
    <w:link w:val="Header"/>
    <w:uiPriority w:val="99"/>
    <w:rsid w:val="00A33802"/>
    <w:rPr>
      <w:noProof w:val="0"/>
      <w:lang w:val="en-AU"/>
    </w:rPr>
  </w:style>
  <w:style w:type="paragraph" w:styleId="BalloonText">
    <w:name w:val="Balloon Text"/>
    <w:basedOn w:val="Normal"/>
    <w:link w:val="BalloonTextChar"/>
    <w:uiPriority w:val="99"/>
    <w:semiHidden/>
    <w:unhideWhenUsed/>
    <w:locked/>
    <w:rsid w:val="00C636D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636DA"/>
    <w:rPr>
      <w:rFonts w:ascii="Tahoma" w:hAnsi="Tahoma" w:cs="Tahoma"/>
      <w:noProof w:val="0"/>
      <w:sz w:val="16"/>
      <w:szCs w:val="16"/>
      <w:lang w:val="en-AU"/>
    </w:rPr>
  </w:style>
  <w:style w:type="character" w:styleId="PlaceholderText">
    <w:name w:val="Placeholder Text"/>
    <w:basedOn w:val="DefaultParagraphFont"/>
    <w:uiPriority w:val="99"/>
    <w:unhideWhenUsed/>
    <w:rsid w:val="00764992"/>
    <w:rPr>
      <w:noProof w:val="0"/>
      <w:color w:val="808080"/>
      <w:sz w:val="16"/>
      <w:lang w:val="en-AU"/>
    </w:rPr>
  </w:style>
  <w:style w:type="paragraph" w:customStyle="1" w:styleId="Spacer">
    <w:name w:val="Spacer"/>
    <w:basedOn w:val="Normal"/>
    <w:semiHidden/>
    <w:locked/>
    <w:rsid w:val="00870BC6"/>
    <w:pPr>
      <w:spacing w:after="0" w:line="240" w:lineRule="auto"/>
    </w:pPr>
    <w:rPr>
      <w:sz w:val="2"/>
    </w:rPr>
  </w:style>
  <w:style w:type="paragraph" w:styleId="ListNumber4">
    <w:name w:val="List Number 4"/>
    <w:basedOn w:val="Normal"/>
    <w:uiPriority w:val="9"/>
    <w:semiHidden/>
    <w:locked/>
    <w:rsid w:val="00DA4C48"/>
    <w:pPr>
      <w:numPr>
        <w:numId w:val="19"/>
      </w:numPr>
      <w:ind w:left="1434" w:hanging="357"/>
      <w:contextualSpacing/>
    </w:pPr>
  </w:style>
  <w:style w:type="paragraph" w:customStyle="1" w:styleId="NotesHeading-Level1">
    <w:name w:val="Notes Heading - Level 1"/>
    <w:basedOn w:val="Normal"/>
    <w:next w:val="NotesHeading-Level2"/>
    <w:uiPriority w:val="15"/>
    <w:rsid w:val="00606EAB"/>
    <w:pPr>
      <w:numPr>
        <w:numId w:val="31"/>
      </w:numPr>
      <w:pBdr>
        <w:top w:val="single" w:sz="24" w:space="1" w:color="4D4D4D" w:themeColor="accent6"/>
        <w:left w:val="single" w:sz="24" w:space="4" w:color="4D4D4D" w:themeColor="accent6"/>
        <w:bottom w:val="single" w:sz="24" w:space="1" w:color="4D4D4D" w:themeColor="accent6"/>
        <w:right w:val="single" w:sz="24" w:space="4" w:color="4D4D4D" w:themeColor="accent6"/>
      </w:pBdr>
      <w:shd w:val="clear" w:color="auto" w:fill="4D4D4D" w:themeFill="accent6"/>
      <w:spacing w:before="240" w:after="240"/>
      <w:ind w:left="170" w:right="170"/>
      <w:outlineLvl w:val="0"/>
    </w:pPr>
    <w:rPr>
      <w:rFonts w:eastAsia="Times New Roman" w:cs="Times New Roman"/>
      <w:b/>
      <w:color w:val="FFFFFF" w:themeColor="background1"/>
    </w:rPr>
  </w:style>
  <w:style w:type="character" w:styleId="Hyperlink">
    <w:name w:val="Hyperlink"/>
    <w:basedOn w:val="DefaultParagraphFont"/>
    <w:uiPriority w:val="99"/>
    <w:rsid w:val="00E80011"/>
    <w:rPr>
      <w:noProof w:val="0"/>
      <w:color w:val="0000FF"/>
      <w:u w:val="single"/>
      <w:lang w:val="en-AU"/>
    </w:rPr>
  </w:style>
  <w:style w:type="numbering" w:customStyle="1" w:styleId="CustomList">
    <w:name w:val="Custom List"/>
    <w:uiPriority w:val="99"/>
    <w:rsid w:val="00301352"/>
    <w:pPr>
      <w:numPr>
        <w:numId w:val="24"/>
      </w:numPr>
    </w:pPr>
  </w:style>
  <w:style w:type="paragraph" w:styleId="Bibliography">
    <w:name w:val="Bibliography"/>
    <w:basedOn w:val="Normal"/>
    <w:next w:val="Normal"/>
    <w:uiPriority w:val="37"/>
    <w:semiHidden/>
    <w:unhideWhenUsed/>
    <w:locked/>
    <w:rsid w:val="00F80750"/>
  </w:style>
  <w:style w:type="paragraph" w:styleId="BlockText">
    <w:name w:val="Block Text"/>
    <w:basedOn w:val="Normal"/>
    <w:uiPriority w:val="99"/>
    <w:semiHidden/>
    <w:unhideWhenUsed/>
    <w:locked/>
    <w:rsid w:val="00F80750"/>
    <w:pPr>
      <w:pBdr>
        <w:top w:val="single" w:sz="2" w:space="10" w:color="DDDDDD" w:themeColor="accent1"/>
        <w:left w:val="single" w:sz="2" w:space="10" w:color="DDDDDD" w:themeColor="accent1"/>
        <w:bottom w:val="single" w:sz="2" w:space="10" w:color="DDDDDD" w:themeColor="accent1"/>
        <w:right w:val="single" w:sz="2" w:space="10" w:color="DDDDDD" w:themeColor="accent1"/>
      </w:pBdr>
      <w:ind w:left="1152" w:right="1152"/>
    </w:pPr>
    <w:rPr>
      <w:rFonts w:asciiTheme="minorHAnsi" w:eastAsiaTheme="minorEastAsia" w:hAnsiTheme="minorHAnsi"/>
      <w:i/>
      <w:iCs/>
      <w:color w:val="DDDDDD" w:themeColor="accent1"/>
    </w:rPr>
  </w:style>
  <w:style w:type="paragraph" w:styleId="BodyText">
    <w:name w:val="Body Text"/>
    <w:basedOn w:val="Normal"/>
    <w:link w:val="BodyTextChar"/>
    <w:qFormat/>
    <w:rsid w:val="00F80750"/>
    <w:pPr>
      <w:spacing w:after="120"/>
    </w:pPr>
  </w:style>
  <w:style w:type="character" w:customStyle="1" w:styleId="BodyTextChar">
    <w:name w:val="Body Text Char"/>
    <w:basedOn w:val="DefaultParagraphFont"/>
    <w:link w:val="BodyText"/>
    <w:rsid w:val="006965EA"/>
  </w:style>
  <w:style w:type="paragraph" w:styleId="BodyText2">
    <w:name w:val="Body Text 2"/>
    <w:basedOn w:val="Normal"/>
    <w:link w:val="BodyText2Char"/>
    <w:uiPriority w:val="99"/>
    <w:semiHidden/>
    <w:unhideWhenUsed/>
    <w:locked/>
    <w:rsid w:val="00F80750"/>
    <w:pPr>
      <w:spacing w:after="120" w:line="480" w:lineRule="auto"/>
    </w:pPr>
  </w:style>
  <w:style w:type="character" w:customStyle="1" w:styleId="BodyText2Char">
    <w:name w:val="Body Text 2 Char"/>
    <w:basedOn w:val="DefaultParagraphFont"/>
    <w:link w:val="BodyText2"/>
    <w:uiPriority w:val="99"/>
    <w:semiHidden/>
    <w:rsid w:val="00F80750"/>
    <w:rPr>
      <w:noProof w:val="0"/>
      <w:lang w:val="en-AU"/>
    </w:rPr>
  </w:style>
  <w:style w:type="paragraph" w:styleId="BodyText3">
    <w:name w:val="Body Text 3"/>
    <w:basedOn w:val="Normal"/>
    <w:link w:val="BodyText3Char"/>
    <w:uiPriority w:val="99"/>
    <w:semiHidden/>
    <w:unhideWhenUsed/>
    <w:locked/>
    <w:rsid w:val="00F80750"/>
    <w:pPr>
      <w:spacing w:after="120"/>
    </w:pPr>
    <w:rPr>
      <w:sz w:val="16"/>
      <w:szCs w:val="16"/>
    </w:rPr>
  </w:style>
  <w:style w:type="character" w:customStyle="1" w:styleId="BodyText3Char">
    <w:name w:val="Body Text 3 Char"/>
    <w:basedOn w:val="DefaultParagraphFont"/>
    <w:link w:val="BodyText3"/>
    <w:uiPriority w:val="99"/>
    <w:semiHidden/>
    <w:rsid w:val="00F80750"/>
    <w:rPr>
      <w:noProof w:val="0"/>
      <w:sz w:val="16"/>
      <w:szCs w:val="16"/>
      <w:lang w:val="en-AU"/>
    </w:rPr>
  </w:style>
  <w:style w:type="paragraph" w:styleId="BodyTextFirstIndent">
    <w:name w:val="Body Text First Indent"/>
    <w:basedOn w:val="BodyText"/>
    <w:link w:val="BodyTextFirstIndentChar"/>
    <w:uiPriority w:val="99"/>
    <w:semiHidden/>
    <w:unhideWhenUsed/>
    <w:locked/>
    <w:rsid w:val="00F80750"/>
    <w:pPr>
      <w:spacing w:after="170"/>
      <w:ind w:firstLine="360"/>
    </w:pPr>
  </w:style>
  <w:style w:type="character" w:customStyle="1" w:styleId="BodyTextFirstIndentChar">
    <w:name w:val="Body Text First Indent Char"/>
    <w:basedOn w:val="BodyTextChar"/>
    <w:link w:val="BodyTextFirstIndent"/>
    <w:uiPriority w:val="99"/>
    <w:semiHidden/>
    <w:rsid w:val="00F80750"/>
    <w:rPr>
      <w:noProof w:val="0"/>
      <w:lang w:val="en-AU"/>
    </w:rPr>
  </w:style>
  <w:style w:type="paragraph" w:styleId="BodyTextIndent">
    <w:name w:val="Body Text Indent"/>
    <w:basedOn w:val="Normal"/>
    <w:link w:val="BodyTextIndentChar"/>
    <w:uiPriority w:val="99"/>
    <w:semiHidden/>
    <w:unhideWhenUsed/>
    <w:locked/>
    <w:rsid w:val="00F80750"/>
    <w:pPr>
      <w:spacing w:after="120"/>
      <w:ind w:left="283"/>
    </w:pPr>
  </w:style>
  <w:style w:type="character" w:customStyle="1" w:styleId="BodyTextIndentChar">
    <w:name w:val="Body Text Indent Char"/>
    <w:basedOn w:val="DefaultParagraphFont"/>
    <w:link w:val="BodyTextIndent"/>
    <w:uiPriority w:val="99"/>
    <w:semiHidden/>
    <w:rsid w:val="00F80750"/>
    <w:rPr>
      <w:noProof w:val="0"/>
      <w:lang w:val="en-AU"/>
    </w:rPr>
  </w:style>
  <w:style w:type="paragraph" w:styleId="BodyTextFirstIndent2">
    <w:name w:val="Body Text First Indent 2"/>
    <w:basedOn w:val="BodyTextIndent"/>
    <w:link w:val="BodyTextFirstIndent2Char"/>
    <w:uiPriority w:val="99"/>
    <w:semiHidden/>
    <w:unhideWhenUsed/>
    <w:locked/>
    <w:rsid w:val="00F80750"/>
    <w:pPr>
      <w:spacing w:after="170"/>
      <w:ind w:left="360" w:firstLine="360"/>
    </w:pPr>
  </w:style>
  <w:style w:type="character" w:customStyle="1" w:styleId="BodyTextFirstIndent2Char">
    <w:name w:val="Body Text First Indent 2 Char"/>
    <w:basedOn w:val="BodyTextIndentChar"/>
    <w:link w:val="BodyTextFirstIndent2"/>
    <w:uiPriority w:val="99"/>
    <w:semiHidden/>
    <w:rsid w:val="00F80750"/>
    <w:rPr>
      <w:noProof w:val="0"/>
      <w:lang w:val="en-AU"/>
    </w:rPr>
  </w:style>
  <w:style w:type="paragraph" w:styleId="BodyTextIndent2">
    <w:name w:val="Body Text Indent 2"/>
    <w:basedOn w:val="Normal"/>
    <w:link w:val="BodyTextIndent2Char"/>
    <w:uiPriority w:val="99"/>
    <w:semiHidden/>
    <w:unhideWhenUsed/>
    <w:locked/>
    <w:rsid w:val="00F80750"/>
    <w:pPr>
      <w:spacing w:after="120" w:line="480" w:lineRule="auto"/>
      <w:ind w:left="283"/>
    </w:pPr>
  </w:style>
  <w:style w:type="character" w:customStyle="1" w:styleId="BodyTextIndent2Char">
    <w:name w:val="Body Text Indent 2 Char"/>
    <w:basedOn w:val="DefaultParagraphFont"/>
    <w:link w:val="BodyTextIndent2"/>
    <w:uiPriority w:val="99"/>
    <w:semiHidden/>
    <w:rsid w:val="00F80750"/>
    <w:rPr>
      <w:noProof w:val="0"/>
      <w:lang w:val="en-AU"/>
    </w:rPr>
  </w:style>
  <w:style w:type="paragraph" w:styleId="BodyTextIndent3">
    <w:name w:val="Body Text Indent 3"/>
    <w:basedOn w:val="Normal"/>
    <w:link w:val="BodyTextIndent3Char"/>
    <w:uiPriority w:val="99"/>
    <w:semiHidden/>
    <w:unhideWhenUsed/>
    <w:locked/>
    <w:rsid w:val="00F80750"/>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F80750"/>
    <w:rPr>
      <w:noProof w:val="0"/>
      <w:sz w:val="16"/>
      <w:szCs w:val="16"/>
      <w:lang w:val="en-AU"/>
    </w:rPr>
  </w:style>
  <w:style w:type="character" w:styleId="BookTitle">
    <w:name w:val="Book Title"/>
    <w:basedOn w:val="DefaultParagraphFont"/>
    <w:uiPriority w:val="33"/>
    <w:semiHidden/>
    <w:qFormat/>
    <w:locked/>
    <w:rsid w:val="00F80750"/>
    <w:rPr>
      <w:b/>
      <w:bCs/>
      <w:smallCaps/>
      <w:noProof w:val="0"/>
      <w:spacing w:val="5"/>
      <w:lang w:val="en-AU"/>
    </w:rPr>
  </w:style>
  <w:style w:type="paragraph" w:styleId="Closing">
    <w:name w:val="Closing"/>
    <w:basedOn w:val="Normal"/>
    <w:link w:val="ClosingChar"/>
    <w:uiPriority w:val="99"/>
    <w:semiHidden/>
    <w:unhideWhenUsed/>
    <w:locked/>
    <w:rsid w:val="00F80750"/>
    <w:pPr>
      <w:spacing w:after="0" w:line="240" w:lineRule="auto"/>
      <w:ind w:left="4252"/>
    </w:pPr>
  </w:style>
  <w:style w:type="character" w:customStyle="1" w:styleId="ClosingChar">
    <w:name w:val="Closing Char"/>
    <w:basedOn w:val="DefaultParagraphFont"/>
    <w:link w:val="Closing"/>
    <w:uiPriority w:val="99"/>
    <w:semiHidden/>
    <w:rsid w:val="00F80750"/>
    <w:rPr>
      <w:noProof w:val="0"/>
      <w:lang w:val="en-AU"/>
    </w:rPr>
  </w:style>
  <w:style w:type="table" w:styleId="ColorfulGrid">
    <w:name w:val="Colorful Grid"/>
    <w:basedOn w:val="TableNormal"/>
    <w:uiPriority w:val="73"/>
    <w:locked/>
    <w:rsid w:val="00F8075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locked/>
    <w:rsid w:val="00F8075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8F8F8" w:themeFill="accent1" w:themeFillTint="33"/>
    </w:tcPr>
    <w:tblStylePr w:type="firstRow">
      <w:rPr>
        <w:b/>
        <w:bCs/>
      </w:rPr>
      <w:tblPr/>
      <w:tcPr>
        <w:shd w:val="clear" w:color="auto" w:fill="F1F1F1" w:themeFill="accent1" w:themeFillTint="66"/>
      </w:tcPr>
    </w:tblStylePr>
    <w:tblStylePr w:type="lastRow">
      <w:rPr>
        <w:b/>
        <w:bCs/>
        <w:color w:val="000000" w:themeColor="text1"/>
      </w:rPr>
      <w:tblPr/>
      <w:tcPr>
        <w:shd w:val="clear" w:color="auto" w:fill="F1F1F1" w:themeFill="accent1" w:themeFillTint="66"/>
      </w:tcPr>
    </w:tblStylePr>
    <w:tblStylePr w:type="firstCol">
      <w:rPr>
        <w:color w:val="FFFFFF" w:themeColor="background1"/>
      </w:rPr>
      <w:tblPr/>
      <w:tcPr>
        <w:shd w:val="clear" w:color="auto" w:fill="A5A5A5" w:themeFill="accent1" w:themeFillShade="BF"/>
      </w:tcPr>
    </w:tblStylePr>
    <w:tblStylePr w:type="lastCol">
      <w:rPr>
        <w:color w:val="FFFFFF" w:themeColor="background1"/>
      </w:rPr>
      <w:tblPr/>
      <w:tcPr>
        <w:shd w:val="clear" w:color="auto" w:fill="A5A5A5" w:themeFill="accent1" w:themeFillShade="BF"/>
      </w:tcPr>
    </w:tblStylePr>
    <w:tblStylePr w:type="band1Vert">
      <w:tblPr/>
      <w:tcPr>
        <w:shd w:val="clear" w:color="auto" w:fill="EEEEEE" w:themeFill="accent1" w:themeFillTint="7F"/>
      </w:tcPr>
    </w:tblStylePr>
    <w:tblStylePr w:type="band1Horz">
      <w:tblPr/>
      <w:tcPr>
        <w:shd w:val="clear" w:color="auto" w:fill="EEEEEE" w:themeFill="accent1" w:themeFillTint="7F"/>
      </w:tcPr>
    </w:tblStylePr>
  </w:style>
  <w:style w:type="table" w:styleId="ColorfulGrid-Accent2">
    <w:name w:val="Colorful Grid Accent 2"/>
    <w:basedOn w:val="TableNormal"/>
    <w:uiPriority w:val="73"/>
    <w:locked/>
    <w:rsid w:val="00F8075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FEFEF" w:themeFill="accent2" w:themeFillTint="33"/>
    </w:tcPr>
    <w:tblStylePr w:type="firstRow">
      <w:rPr>
        <w:b/>
        <w:bCs/>
      </w:rPr>
      <w:tblPr/>
      <w:tcPr>
        <w:shd w:val="clear" w:color="auto" w:fill="E0E0E0" w:themeFill="accent2" w:themeFillTint="66"/>
      </w:tcPr>
    </w:tblStylePr>
    <w:tblStylePr w:type="lastRow">
      <w:rPr>
        <w:b/>
        <w:bCs/>
        <w:color w:val="000000" w:themeColor="text1"/>
      </w:rPr>
      <w:tblPr/>
      <w:tcPr>
        <w:shd w:val="clear" w:color="auto" w:fill="E0E0E0" w:themeFill="accent2" w:themeFillTint="66"/>
      </w:tcPr>
    </w:tblStylePr>
    <w:tblStylePr w:type="firstCol">
      <w:rPr>
        <w:color w:val="FFFFFF" w:themeColor="background1"/>
      </w:rPr>
      <w:tblPr/>
      <w:tcPr>
        <w:shd w:val="clear" w:color="auto" w:fill="858585" w:themeFill="accent2" w:themeFillShade="BF"/>
      </w:tcPr>
    </w:tblStylePr>
    <w:tblStylePr w:type="lastCol">
      <w:rPr>
        <w:color w:val="FFFFFF" w:themeColor="background1"/>
      </w:rPr>
      <w:tblPr/>
      <w:tcPr>
        <w:shd w:val="clear" w:color="auto" w:fill="858585" w:themeFill="accent2" w:themeFillShade="BF"/>
      </w:tcPr>
    </w:tblStylePr>
    <w:tblStylePr w:type="band1Vert">
      <w:tblPr/>
      <w:tcPr>
        <w:shd w:val="clear" w:color="auto" w:fill="D8D8D8" w:themeFill="accent2" w:themeFillTint="7F"/>
      </w:tcPr>
    </w:tblStylePr>
    <w:tblStylePr w:type="band1Horz">
      <w:tblPr/>
      <w:tcPr>
        <w:shd w:val="clear" w:color="auto" w:fill="D8D8D8" w:themeFill="accent2" w:themeFillTint="7F"/>
      </w:tcPr>
    </w:tblStylePr>
  </w:style>
  <w:style w:type="table" w:styleId="ColorfulGrid-Accent3">
    <w:name w:val="Colorful Grid Accent 3"/>
    <w:basedOn w:val="TableNormal"/>
    <w:uiPriority w:val="73"/>
    <w:locked/>
    <w:rsid w:val="00F8075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EAEA" w:themeFill="accent3" w:themeFillTint="33"/>
    </w:tcPr>
    <w:tblStylePr w:type="firstRow">
      <w:rPr>
        <w:b/>
        <w:bCs/>
      </w:rPr>
      <w:tblPr/>
      <w:tcPr>
        <w:shd w:val="clear" w:color="auto" w:fill="D5D5D5" w:themeFill="accent3" w:themeFillTint="66"/>
      </w:tcPr>
    </w:tblStylePr>
    <w:tblStylePr w:type="lastRow">
      <w:rPr>
        <w:b/>
        <w:bCs/>
        <w:color w:val="000000" w:themeColor="text1"/>
      </w:rPr>
      <w:tblPr/>
      <w:tcPr>
        <w:shd w:val="clear" w:color="auto" w:fill="D5D5D5" w:themeFill="accent3" w:themeFillTint="66"/>
      </w:tcPr>
    </w:tblStylePr>
    <w:tblStylePr w:type="firstCol">
      <w:rPr>
        <w:color w:val="FFFFFF" w:themeColor="background1"/>
      </w:rPr>
      <w:tblPr/>
      <w:tcPr>
        <w:shd w:val="clear" w:color="auto" w:fill="707070" w:themeFill="accent3" w:themeFillShade="BF"/>
      </w:tcPr>
    </w:tblStylePr>
    <w:tblStylePr w:type="lastCol">
      <w:rPr>
        <w:color w:val="FFFFFF" w:themeColor="background1"/>
      </w:rPr>
      <w:tblPr/>
      <w:tcPr>
        <w:shd w:val="clear" w:color="auto" w:fill="707070" w:themeFill="accent3" w:themeFillShade="BF"/>
      </w:tcPr>
    </w:tblStylePr>
    <w:tblStylePr w:type="band1Vert">
      <w:tblPr/>
      <w:tcPr>
        <w:shd w:val="clear" w:color="auto" w:fill="CACACA" w:themeFill="accent3" w:themeFillTint="7F"/>
      </w:tcPr>
    </w:tblStylePr>
    <w:tblStylePr w:type="band1Horz">
      <w:tblPr/>
      <w:tcPr>
        <w:shd w:val="clear" w:color="auto" w:fill="CACACA" w:themeFill="accent3" w:themeFillTint="7F"/>
      </w:tcPr>
    </w:tblStylePr>
  </w:style>
  <w:style w:type="table" w:styleId="ColorfulGrid-Accent4">
    <w:name w:val="Colorful Grid Accent 4"/>
    <w:basedOn w:val="TableNormal"/>
    <w:uiPriority w:val="73"/>
    <w:locked/>
    <w:rsid w:val="00F8075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E5E5" w:themeFill="accent4" w:themeFillTint="33"/>
    </w:tcPr>
    <w:tblStylePr w:type="firstRow">
      <w:rPr>
        <w:b/>
        <w:bCs/>
      </w:rPr>
      <w:tblPr/>
      <w:tcPr>
        <w:shd w:val="clear" w:color="auto" w:fill="CCCCCC" w:themeFill="accent4" w:themeFillTint="66"/>
      </w:tcPr>
    </w:tblStylePr>
    <w:tblStylePr w:type="lastRow">
      <w:rPr>
        <w:b/>
        <w:bCs/>
        <w:color w:val="000000" w:themeColor="text1"/>
      </w:rPr>
      <w:tblPr/>
      <w:tcPr>
        <w:shd w:val="clear" w:color="auto" w:fill="CCCCCC" w:themeFill="accent4" w:themeFillTint="66"/>
      </w:tcPr>
    </w:tblStylePr>
    <w:tblStylePr w:type="firstCol">
      <w:rPr>
        <w:color w:val="FFFFFF" w:themeColor="background1"/>
      </w:rPr>
      <w:tblPr/>
      <w:tcPr>
        <w:shd w:val="clear" w:color="auto" w:fill="5F5F5F" w:themeFill="accent4" w:themeFillShade="BF"/>
      </w:tcPr>
    </w:tblStylePr>
    <w:tblStylePr w:type="lastCol">
      <w:rPr>
        <w:color w:val="FFFFFF" w:themeColor="background1"/>
      </w:rPr>
      <w:tblPr/>
      <w:tcPr>
        <w:shd w:val="clear" w:color="auto" w:fill="5F5F5F" w:themeFill="accent4" w:themeFillShade="BF"/>
      </w:tcPr>
    </w:tblStylePr>
    <w:tblStylePr w:type="band1Vert">
      <w:tblPr/>
      <w:tcPr>
        <w:shd w:val="clear" w:color="auto" w:fill="BFBFBF" w:themeFill="accent4" w:themeFillTint="7F"/>
      </w:tcPr>
    </w:tblStylePr>
    <w:tblStylePr w:type="band1Horz">
      <w:tblPr/>
      <w:tcPr>
        <w:shd w:val="clear" w:color="auto" w:fill="BFBFBF" w:themeFill="accent4" w:themeFillTint="7F"/>
      </w:tcPr>
    </w:tblStylePr>
  </w:style>
  <w:style w:type="table" w:styleId="ColorfulGrid-Accent5">
    <w:name w:val="Colorful Grid Accent 5"/>
    <w:basedOn w:val="TableNormal"/>
    <w:uiPriority w:val="73"/>
    <w:locked/>
    <w:rsid w:val="00F8075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FDFDF" w:themeFill="accent5" w:themeFillTint="33"/>
    </w:tcPr>
    <w:tblStylePr w:type="firstRow">
      <w:rPr>
        <w:b/>
        <w:bCs/>
      </w:rPr>
      <w:tblPr/>
      <w:tcPr>
        <w:shd w:val="clear" w:color="auto" w:fill="BFBFBF" w:themeFill="accent5" w:themeFillTint="66"/>
      </w:tcPr>
    </w:tblStylePr>
    <w:tblStylePr w:type="lastRow">
      <w:rPr>
        <w:b/>
        <w:bCs/>
        <w:color w:val="000000" w:themeColor="text1"/>
      </w:rPr>
      <w:tblPr/>
      <w:tcPr>
        <w:shd w:val="clear" w:color="auto" w:fill="BFBFBF" w:themeFill="accent5" w:themeFillTint="66"/>
      </w:tcPr>
    </w:tblStylePr>
    <w:tblStylePr w:type="firstCol">
      <w:rPr>
        <w:color w:val="FFFFFF" w:themeColor="background1"/>
      </w:rPr>
      <w:tblPr/>
      <w:tcPr>
        <w:shd w:val="clear" w:color="auto" w:fill="474747" w:themeFill="accent5" w:themeFillShade="BF"/>
      </w:tcPr>
    </w:tblStylePr>
    <w:tblStylePr w:type="lastCol">
      <w:rPr>
        <w:color w:val="FFFFFF" w:themeColor="background1"/>
      </w:rPr>
      <w:tblPr/>
      <w:tcPr>
        <w:shd w:val="clear" w:color="auto" w:fill="474747" w:themeFill="accent5" w:themeFillShade="BF"/>
      </w:tcPr>
    </w:tblStylePr>
    <w:tblStylePr w:type="band1Vert">
      <w:tblPr/>
      <w:tcPr>
        <w:shd w:val="clear" w:color="auto" w:fill="AFAFAF" w:themeFill="accent5" w:themeFillTint="7F"/>
      </w:tcPr>
    </w:tblStylePr>
    <w:tblStylePr w:type="band1Horz">
      <w:tblPr/>
      <w:tcPr>
        <w:shd w:val="clear" w:color="auto" w:fill="AFAFAF" w:themeFill="accent5" w:themeFillTint="7F"/>
      </w:tcPr>
    </w:tblStylePr>
  </w:style>
  <w:style w:type="table" w:styleId="ColorfulGrid-Accent6">
    <w:name w:val="Colorful Grid Accent 6"/>
    <w:basedOn w:val="TableNormal"/>
    <w:uiPriority w:val="73"/>
    <w:locked/>
    <w:rsid w:val="00F8075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DBDB" w:themeFill="accent6" w:themeFillTint="33"/>
    </w:tcPr>
    <w:tblStylePr w:type="firstRow">
      <w:rPr>
        <w:b/>
        <w:bCs/>
      </w:rPr>
      <w:tblPr/>
      <w:tcPr>
        <w:shd w:val="clear" w:color="auto" w:fill="B7B7B7" w:themeFill="accent6" w:themeFillTint="66"/>
      </w:tcPr>
    </w:tblStylePr>
    <w:tblStylePr w:type="lastRow">
      <w:rPr>
        <w:b/>
        <w:bCs/>
        <w:color w:val="000000" w:themeColor="text1"/>
      </w:rPr>
      <w:tblPr/>
      <w:tcPr>
        <w:shd w:val="clear" w:color="auto" w:fill="B7B7B7" w:themeFill="accent6" w:themeFillTint="66"/>
      </w:tcPr>
    </w:tblStylePr>
    <w:tblStylePr w:type="firstCol">
      <w:rPr>
        <w:color w:val="FFFFFF" w:themeColor="background1"/>
      </w:rPr>
      <w:tblPr/>
      <w:tcPr>
        <w:shd w:val="clear" w:color="auto" w:fill="393939" w:themeFill="accent6" w:themeFillShade="BF"/>
      </w:tcPr>
    </w:tblStylePr>
    <w:tblStylePr w:type="lastCol">
      <w:rPr>
        <w:color w:val="FFFFFF" w:themeColor="background1"/>
      </w:rPr>
      <w:tblPr/>
      <w:tcPr>
        <w:shd w:val="clear" w:color="auto" w:fill="393939" w:themeFill="accent6" w:themeFillShade="BF"/>
      </w:tcPr>
    </w:tblStylePr>
    <w:tblStylePr w:type="band1Vert">
      <w:tblPr/>
      <w:tcPr>
        <w:shd w:val="clear" w:color="auto" w:fill="A6A6A6" w:themeFill="accent6" w:themeFillTint="7F"/>
      </w:tcPr>
    </w:tblStylePr>
    <w:tblStylePr w:type="band1Horz">
      <w:tblPr/>
      <w:tcPr>
        <w:shd w:val="clear" w:color="auto" w:fill="A6A6A6" w:themeFill="accent6" w:themeFillTint="7F"/>
      </w:tcPr>
    </w:tblStylePr>
  </w:style>
  <w:style w:type="table" w:styleId="ColorfulList">
    <w:name w:val="Colorful List"/>
    <w:basedOn w:val="TableNormal"/>
    <w:uiPriority w:val="72"/>
    <w:locked/>
    <w:rsid w:val="00F80750"/>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8E8E8E" w:themeFill="accent2" w:themeFillShade="CC"/>
      </w:tcPr>
    </w:tblStylePr>
    <w:tblStylePr w:type="lastRow">
      <w:rPr>
        <w:b/>
        <w:bCs/>
        <w:color w:val="8E8E8E"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locked/>
    <w:rsid w:val="00F80750"/>
    <w:pPr>
      <w:spacing w:after="0" w:line="240" w:lineRule="auto"/>
    </w:pPr>
    <w:rPr>
      <w:color w:val="000000" w:themeColor="text1"/>
    </w:rPr>
    <w:tblPr>
      <w:tblStyleRowBandSize w:val="1"/>
      <w:tblStyleColBandSize w:val="1"/>
    </w:tblPr>
    <w:tcPr>
      <w:shd w:val="clear" w:color="auto" w:fill="FBFBFB" w:themeFill="accent1" w:themeFillTint="19"/>
    </w:tcPr>
    <w:tblStylePr w:type="firstRow">
      <w:rPr>
        <w:b/>
        <w:bCs/>
        <w:color w:val="FFFFFF" w:themeColor="background1"/>
      </w:rPr>
      <w:tblPr/>
      <w:tcPr>
        <w:tcBorders>
          <w:bottom w:val="single" w:sz="12" w:space="0" w:color="FFFFFF" w:themeColor="background1"/>
        </w:tcBorders>
        <w:shd w:val="clear" w:color="auto" w:fill="8E8E8E" w:themeFill="accent2" w:themeFillShade="CC"/>
      </w:tcPr>
    </w:tblStylePr>
    <w:tblStylePr w:type="lastRow">
      <w:rPr>
        <w:b/>
        <w:bCs/>
        <w:color w:val="8E8E8E"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6F6F6" w:themeFill="accent1" w:themeFillTint="3F"/>
      </w:tcPr>
    </w:tblStylePr>
    <w:tblStylePr w:type="band1Horz">
      <w:tblPr/>
      <w:tcPr>
        <w:shd w:val="clear" w:color="auto" w:fill="F8F8F8" w:themeFill="accent1" w:themeFillTint="33"/>
      </w:tcPr>
    </w:tblStylePr>
  </w:style>
  <w:style w:type="table" w:styleId="ColorfulList-Accent2">
    <w:name w:val="Colorful List Accent 2"/>
    <w:basedOn w:val="TableNormal"/>
    <w:uiPriority w:val="72"/>
    <w:locked/>
    <w:rsid w:val="00F80750"/>
    <w:pPr>
      <w:spacing w:after="0" w:line="240" w:lineRule="auto"/>
    </w:pPr>
    <w:rPr>
      <w:color w:val="000000" w:themeColor="text1"/>
    </w:rPr>
    <w:tblPr>
      <w:tblStyleRowBandSize w:val="1"/>
      <w:tblStyleColBandSize w:val="1"/>
    </w:tblPr>
    <w:tcPr>
      <w:shd w:val="clear" w:color="auto" w:fill="F7F7F7" w:themeFill="accent2" w:themeFillTint="19"/>
    </w:tcPr>
    <w:tblStylePr w:type="firstRow">
      <w:rPr>
        <w:b/>
        <w:bCs/>
        <w:color w:val="FFFFFF" w:themeColor="background1"/>
      </w:rPr>
      <w:tblPr/>
      <w:tcPr>
        <w:tcBorders>
          <w:bottom w:val="single" w:sz="12" w:space="0" w:color="FFFFFF" w:themeColor="background1"/>
        </w:tcBorders>
        <w:shd w:val="clear" w:color="auto" w:fill="8E8E8E" w:themeFill="accent2" w:themeFillShade="CC"/>
      </w:tcPr>
    </w:tblStylePr>
    <w:tblStylePr w:type="lastRow">
      <w:rPr>
        <w:b/>
        <w:bCs/>
        <w:color w:val="8E8E8E"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EBEB" w:themeFill="accent2" w:themeFillTint="3F"/>
      </w:tcPr>
    </w:tblStylePr>
    <w:tblStylePr w:type="band1Horz">
      <w:tblPr/>
      <w:tcPr>
        <w:shd w:val="clear" w:color="auto" w:fill="EFEFEF" w:themeFill="accent2" w:themeFillTint="33"/>
      </w:tcPr>
    </w:tblStylePr>
  </w:style>
  <w:style w:type="table" w:styleId="ColorfulList-Accent3">
    <w:name w:val="Colorful List Accent 3"/>
    <w:basedOn w:val="TableNormal"/>
    <w:uiPriority w:val="72"/>
    <w:locked/>
    <w:rsid w:val="00F80750"/>
    <w:pPr>
      <w:spacing w:after="0" w:line="240" w:lineRule="auto"/>
    </w:pPr>
    <w:rPr>
      <w:color w:val="000000" w:themeColor="text1"/>
    </w:rPr>
    <w:tblPr>
      <w:tblStyleRowBandSize w:val="1"/>
      <w:tblStyleColBandSize w:val="1"/>
    </w:tblPr>
    <w:tcPr>
      <w:shd w:val="clear" w:color="auto" w:fill="F4F4F4" w:themeFill="accent3" w:themeFillTint="19"/>
    </w:tcPr>
    <w:tblStylePr w:type="firstRow">
      <w:rPr>
        <w:b/>
        <w:bCs/>
        <w:color w:val="FFFFFF" w:themeColor="background1"/>
      </w:rPr>
      <w:tblPr/>
      <w:tcPr>
        <w:tcBorders>
          <w:bottom w:val="single" w:sz="12" w:space="0" w:color="FFFFFF" w:themeColor="background1"/>
        </w:tcBorders>
        <w:shd w:val="clear" w:color="auto" w:fill="666666" w:themeFill="accent4" w:themeFillShade="CC"/>
      </w:tcPr>
    </w:tblStylePr>
    <w:tblStylePr w:type="lastRow">
      <w:rPr>
        <w:b/>
        <w:bCs/>
        <w:color w:val="666666"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5E5E5" w:themeFill="accent3" w:themeFillTint="3F"/>
      </w:tcPr>
    </w:tblStylePr>
    <w:tblStylePr w:type="band1Horz">
      <w:tblPr/>
      <w:tcPr>
        <w:shd w:val="clear" w:color="auto" w:fill="EAEAEA" w:themeFill="accent3" w:themeFillTint="33"/>
      </w:tcPr>
    </w:tblStylePr>
  </w:style>
  <w:style w:type="table" w:styleId="ColorfulList-Accent4">
    <w:name w:val="Colorful List Accent 4"/>
    <w:basedOn w:val="TableNormal"/>
    <w:uiPriority w:val="72"/>
    <w:locked/>
    <w:rsid w:val="00F80750"/>
    <w:pPr>
      <w:spacing w:after="0" w:line="240" w:lineRule="auto"/>
    </w:pPr>
    <w:rPr>
      <w:color w:val="000000" w:themeColor="text1"/>
    </w:rPr>
    <w:tblPr>
      <w:tblStyleRowBandSize w:val="1"/>
      <w:tblStyleColBandSize w:val="1"/>
    </w:tblPr>
    <w:tcPr>
      <w:shd w:val="clear" w:color="auto" w:fill="F2F2F2" w:themeFill="accent4" w:themeFillTint="19"/>
    </w:tcPr>
    <w:tblStylePr w:type="firstRow">
      <w:rPr>
        <w:b/>
        <w:bCs/>
        <w:color w:val="FFFFFF" w:themeColor="background1"/>
      </w:rPr>
      <w:tblPr/>
      <w:tcPr>
        <w:tcBorders>
          <w:bottom w:val="single" w:sz="12" w:space="0" w:color="FFFFFF" w:themeColor="background1"/>
        </w:tcBorders>
        <w:shd w:val="clear" w:color="auto" w:fill="787878" w:themeFill="accent3" w:themeFillShade="CC"/>
      </w:tcPr>
    </w:tblStylePr>
    <w:tblStylePr w:type="lastRow">
      <w:rPr>
        <w:b/>
        <w:bCs/>
        <w:color w:val="787878"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FDF" w:themeFill="accent4" w:themeFillTint="3F"/>
      </w:tcPr>
    </w:tblStylePr>
    <w:tblStylePr w:type="band1Horz">
      <w:tblPr/>
      <w:tcPr>
        <w:shd w:val="clear" w:color="auto" w:fill="E5E5E5" w:themeFill="accent4" w:themeFillTint="33"/>
      </w:tcPr>
    </w:tblStylePr>
  </w:style>
  <w:style w:type="table" w:styleId="ColorfulList-Accent5">
    <w:name w:val="Colorful List Accent 5"/>
    <w:basedOn w:val="TableNormal"/>
    <w:uiPriority w:val="72"/>
    <w:locked/>
    <w:rsid w:val="00F80750"/>
    <w:pPr>
      <w:spacing w:after="0" w:line="240" w:lineRule="auto"/>
    </w:pPr>
    <w:rPr>
      <w:color w:val="000000" w:themeColor="text1"/>
    </w:rPr>
    <w:tblPr>
      <w:tblStyleRowBandSize w:val="1"/>
      <w:tblStyleColBandSize w:val="1"/>
    </w:tblPr>
    <w:tcPr>
      <w:shd w:val="clear" w:color="auto" w:fill="EFEFEF" w:themeFill="accent5" w:themeFillTint="19"/>
    </w:tcPr>
    <w:tblStylePr w:type="firstRow">
      <w:rPr>
        <w:b/>
        <w:bCs/>
        <w:color w:val="FFFFFF" w:themeColor="background1"/>
      </w:rPr>
      <w:tblPr/>
      <w:tcPr>
        <w:tcBorders>
          <w:bottom w:val="single" w:sz="12" w:space="0" w:color="FFFFFF" w:themeColor="background1"/>
        </w:tcBorders>
        <w:shd w:val="clear" w:color="auto" w:fill="3D3D3D" w:themeFill="accent6" w:themeFillShade="CC"/>
      </w:tcPr>
    </w:tblStylePr>
    <w:tblStylePr w:type="lastRow">
      <w:rPr>
        <w:b/>
        <w:bCs/>
        <w:color w:val="3D3D3D"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D7D7" w:themeFill="accent5" w:themeFillTint="3F"/>
      </w:tcPr>
    </w:tblStylePr>
    <w:tblStylePr w:type="band1Horz">
      <w:tblPr/>
      <w:tcPr>
        <w:shd w:val="clear" w:color="auto" w:fill="DFDFDF" w:themeFill="accent5" w:themeFillTint="33"/>
      </w:tcPr>
    </w:tblStylePr>
  </w:style>
  <w:style w:type="table" w:styleId="ColorfulList-Accent6">
    <w:name w:val="Colorful List Accent 6"/>
    <w:basedOn w:val="TableNormal"/>
    <w:uiPriority w:val="72"/>
    <w:locked/>
    <w:rsid w:val="00F80750"/>
    <w:pPr>
      <w:spacing w:after="0" w:line="240" w:lineRule="auto"/>
    </w:pPr>
    <w:rPr>
      <w:color w:val="000000" w:themeColor="text1"/>
    </w:rPr>
    <w:tblPr>
      <w:tblStyleRowBandSize w:val="1"/>
      <w:tblStyleColBandSize w:val="1"/>
    </w:tblPr>
    <w:tcPr>
      <w:shd w:val="clear" w:color="auto" w:fill="EDEDED" w:themeFill="accent6" w:themeFillTint="19"/>
    </w:tcPr>
    <w:tblStylePr w:type="firstRow">
      <w:rPr>
        <w:b/>
        <w:bCs/>
        <w:color w:val="FFFFFF" w:themeColor="background1"/>
      </w:rPr>
      <w:tblPr/>
      <w:tcPr>
        <w:tcBorders>
          <w:bottom w:val="single" w:sz="12" w:space="0" w:color="FFFFFF" w:themeColor="background1"/>
        </w:tcBorders>
        <w:shd w:val="clear" w:color="auto" w:fill="4C4C4C" w:themeFill="accent5" w:themeFillShade="CC"/>
      </w:tcPr>
    </w:tblStylePr>
    <w:tblStylePr w:type="lastRow">
      <w:rPr>
        <w:b/>
        <w:bCs/>
        <w:color w:val="4C4C4C"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3D3" w:themeFill="accent6" w:themeFillTint="3F"/>
      </w:tcPr>
    </w:tblStylePr>
    <w:tblStylePr w:type="band1Horz">
      <w:tblPr/>
      <w:tcPr>
        <w:shd w:val="clear" w:color="auto" w:fill="DBDBDB" w:themeFill="accent6" w:themeFillTint="33"/>
      </w:tcPr>
    </w:tblStylePr>
  </w:style>
  <w:style w:type="table" w:styleId="ColorfulShading">
    <w:name w:val="Colorful Shading"/>
    <w:basedOn w:val="TableNormal"/>
    <w:uiPriority w:val="71"/>
    <w:locked/>
    <w:rsid w:val="00F80750"/>
    <w:pPr>
      <w:spacing w:after="0" w:line="240" w:lineRule="auto"/>
    </w:pPr>
    <w:rPr>
      <w:color w:val="000000" w:themeColor="text1"/>
    </w:rPr>
    <w:tblPr>
      <w:tblStyleRowBandSize w:val="1"/>
      <w:tblStyleColBandSize w:val="1"/>
      <w:tblBorders>
        <w:top w:val="single" w:sz="24" w:space="0" w:color="B2B2B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2B2B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locked/>
    <w:rsid w:val="00F80750"/>
    <w:pPr>
      <w:spacing w:after="0" w:line="240" w:lineRule="auto"/>
    </w:pPr>
    <w:rPr>
      <w:color w:val="000000" w:themeColor="text1"/>
    </w:rPr>
    <w:tblPr>
      <w:tblStyleRowBandSize w:val="1"/>
      <w:tblStyleColBandSize w:val="1"/>
      <w:tblBorders>
        <w:top w:val="single" w:sz="24" w:space="0" w:color="B2B2B2" w:themeColor="accent2"/>
        <w:left w:val="single" w:sz="4" w:space="0" w:color="DDDDDD" w:themeColor="accent1"/>
        <w:bottom w:val="single" w:sz="4" w:space="0" w:color="DDDDDD" w:themeColor="accent1"/>
        <w:right w:val="single" w:sz="4" w:space="0" w:color="DDDDDD" w:themeColor="accent1"/>
        <w:insideH w:val="single" w:sz="4" w:space="0" w:color="FFFFFF" w:themeColor="background1"/>
        <w:insideV w:val="single" w:sz="4" w:space="0" w:color="FFFFFF" w:themeColor="background1"/>
      </w:tblBorders>
    </w:tblPr>
    <w:tcPr>
      <w:shd w:val="clear" w:color="auto" w:fill="FBFBFB" w:themeFill="accent1" w:themeFillTint="19"/>
    </w:tcPr>
    <w:tblStylePr w:type="firstRow">
      <w:rPr>
        <w:b/>
        <w:bCs/>
      </w:rPr>
      <w:tblPr/>
      <w:tcPr>
        <w:tcBorders>
          <w:top w:val="nil"/>
          <w:left w:val="nil"/>
          <w:bottom w:val="single" w:sz="24" w:space="0" w:color="B2B2B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48484" w:themeFill="accent1" w:themeFillShade="99"/>
      </w:tcPr>
    </w:tblStylePr>
    <w:tblStylePr w:type="firstCol">
      <w:rPr>
        <w:color w:val="FFFFFF" w:themeColor="background1"/>
      </w:rPr>
      <w:tblPr/>
      <w:tcPr>
        <w:tcBorders>
          <w:top w:val="nil"/>
          <w:left w:val="nil"/>
          <w:bottom w:val="nil"/>
          <w:right w:val="nil"/>
          <w:insideH w:val="single" w:sz="4" w:space="0" w:color="848484" w:themeColor="accent1" w:themeShade="99"/>
          <w:insideV w:val="nil"/>
        </w:tcBorders>
        <w:shd w:val="clear" w:color="auto" w:fill="84848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848484" w:themeFill="accent1" w:themeFillShade="99"/>
      </w:tcPr>
    </w:tblStylePr>
    <w:tblStylePr w:type="band1Vert">
      <w:tblPr/>
      <w:tcPr>
        <w:shd w:val="clear" w:color="auto" w:fill="F1F1F1" w:themeFill="accent1" w:themeFillTint="66"/>
      </w:tcPr>
    </w:tblStylePr>
    <w:tblStylePr w:type="band1Horz">
      <w:tblPr/>
      <w:tcPr>
        <w:shd w:val="clear" w:color="auto" w:fill="EEEEE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locked/>
    <w:rsid w:val="00F80750"/>
    <w:pPr>
      <w:spacing w:after="0" w:line="240" w:lineRule="auto"/>
    </w:pPr>
    <w:rPr>
      <w:color w:val="000000" w:themeColor="text1"/>
    </w:rPr>
    <w:tblPr>
      <w:tblStyleRowBandSize w:val="1"/>
      <w:tblStyleColBandSize w:val="1"/>
      <w:tblBorders>
        <w:top w:val="single" w:sz="24" w:space="0" w:color="B2B2B2" w:themeColor="accent2"/>
        <w:left w:val="single" w:sz="4" w:space="0" w:color="B2B2B2" w:themeColor="accent2"/>
        <w:bottom w:val="single" w:sz="4" w:space="0" w:color="B2B2B2" w:themeColor="accent2"/>
        <w:right w:val="single" w:sz="4" w:space="0" w:color="B2B2B2" w:themeColor="accent2"/>
        <w:insideH w:val="single" w:sz="4" w:space="0" w:color="FFFFFF" w:themeColor="background1"/>
        <w:insideV w:val="single" w:sz="4" w:space="0" w:color="FFFFFF" w:themeColor="background1"/>
      </w:tblBorders>
    </w:tblPr>
    <w:tcPr>
      <w:shd w:val="clear" w:color="auto" w:fill="F7F7F7" w:themeFill="accent2" w:themeFillTint="19"/>
    </w:tcPr>
    <w:tblStylePr w:type="firstRow">
      <w:rPr>
        <w:b/>
        <w:bCs/>
      </w:rPr>
      <w:tblPr/>
      <w:tcPr>
        <w:tcBorders>
          <w:top w:val="nil"/>
          <w:left w:val="nil"/>
          <w:bottom w:val="single" w:sz="24" w:space="0" w:color="B2B2B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A6A6A" w:themeFill="accent2" w:themeFillShade="99"/>
      </w:tcPr>
    </w:tblStylePr>
    <w:tblStylePr w:type="firstCol">
      <w:rPr>
        <w:color w:val="FFFFFF" w:themeColor="background1"/>
      </w:rPr>
      <w:tblPr/>
      <w:tcPr>
        <w:tcBorders>
          <w:top w:val="nil"/>
          <w:left w:val="nil"/>
          <w:bottom w:val="nil"/>
          <w:right w:val="nil"/>
          <w:insideH w:val="single" w:sz="4" w:space="0" w:color="6A6A6A" w:themeColor="accent2" w:themeShade="99"/>
          <w:insideV w:val="nil"/>
        </w:tcBorders>
        <w:shd w:val="clear" w:color="auto" w:fill="6A6A6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6A6A6A" w:themeFill="accent2" w:themeFillShade="99"/>
      </w:tcPr>
    </w:tblStylePr>
    <w:tblStylePr w:type="band1Vert">
      <w:tblPr/>
      <w:tcPr>
        <w:shd w:val="clear" w:color="auto" w:fill="E0E0E0" w:themeFill="accent2" w:themeFillTint="66"/>
      </w:tcPr>
    </w:tblStylePr>
    <w:tblStylePr w:type="band1Horz">
      <w:tblPr/>
      <w:tcPr>
        <w:shd w:val="clear" w:color="auto" w:fill="D8D8D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locked/>
    <w:rsid w:val="00F80750"/>
    <w:pPr>
      <w:spacing w:after="0" w:line="240" w:lineRule="auto"/>
    </w:pPr>
    <w:rPr>
      <w:color w:val="000000" w:themeColor="text1"/>
    </w:rPr>
    <w:tblPr>
      <w:tblStyleRowBandSize w:val="1"/>
      <w:tblStyleColBandSize w:val="1"/>
      <w:tblBorders>
        <w:top w:val="single" w:sz="24" w:space="0" w:color="808080" w:themeColor="accent4"/>
        <w:left w:val="single" w:sz="4" w:space="0" w:color="969696" w:themeColor="accent3"/>
        <w:bottom w:val="single" w:sz="4" w:space="0" w:color="969696" w:themeColor="accent3"/>
        <w:right w:val="single" w:sz="4" w:space="0" w:color="969696" w:themeColor="accent3"/>
        <w:insideH w:val="single" w:sz="4" w:space="0" w:color="FFFFFF" w:themeColor="background1"/>
        <w:insideV w:val="single" w:sz="4" w:space="0" w:color="FFFFFF" w:themeColor="background1"/>
      </w:tblBorders>
    </w:tblPr>
    <w:tcPr>
      <w:shd w:val="clear" w:color="auto" w:fill="F4F4F4" w:themeFill="accent3" w:themeFillTint="19"/>
    </w:tcPr>
    <w:tblStylePr w:type="firstRow">
      <w:rPr>
        <w:b/>
        <w:bCs/>
      </w:rPr>
      <w:tblPr/>
      <w:tcPr>
        <w:tcBorders>
          <w:top w:val="nil"/>
          <w:left w:val="nil"/>
          <w:bottom w:val="single" w:sz="24" w:space="0" w:color="80808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A5A5A" w:themeFill="accent3" w:themeFillShade="99"/>
      </w:tcPr>
    </w:tblStylePr>
    <w:tblStylePr w:type="firstCol">
      <w:rPr>
        <w:color w:val="FFFFFF" w:themeColor="background1"/>
      </w:rPr>
      <w:tblPr/>
      <w:tcPr>
        <w:tcBorders>
          <w:top w:val="nil"/>
          <w:left w:val="nil"/>
          <w:bottom w:val="nil"/>
          <w:right w:val="nil"/>
          <w:insideH w:val="single" w:sz="4" w:space="0" w:color="5A5A5A" w:themeColor="accent3" w:themeShade="99"/>
          <w:insideV w:val="nil"/>
        </w:tcBorders>
        <w:shd w:val="clear" w:color="auto" w:fill="5A5A5A"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A5A5A" w:themeFill="accent3" w:themeFillShade="99"/>
      </w:tcPr>
    </w:tblStylePr>
    <w:tblStylePr w:type="band1Vert">
      <w:tblPr/>
      <w:tcPr>
        <w:shd w:val="clear" w:color="auto" w:fill="D5D5D5" w:themeFill="accent3" w:themeFillTint="66"/>
      </w:tcPr>
    </w:tblStylePr>
    <w:tblStylePr w:type="band1Horz">
      <w:tblPr/>
      <w:tcPr>
        <w:shd w:val="clear" w:color="auto" w:fill="CACACA" w:themeFill="accent3" w:themeFillTint="7F"/>
      </w:tcPr>
    </w:tblStylePr>
  </w:style>
  <w:style w:type="table" w:styleId="ColorfulShading-Accent4">
    <w:name w:val="Colorful Shading Accent 4"/>
    <w:basedOn w:val="TableNormal"/>
    <w:uiPriority w:val="71"/>
    <w:locked/>
    <w:rsid w:val="00F80750"/>
    <w:pPr>
      <w:spacing w:after="0" w:line="240" w:lineRule="auto"/>
    </w:pPr>
    <w:rPr>
      <w:color w:val="000000" w:themeColor="text1"/>
    </w:rPr>
    <w:tblPr>
      <w:tblStyleRowBandSize w:val="1"/>
      <w:tblStyleColBandSize w:val="1"/>
      <w:tblBorders>
        <w:top w:val="single" w:sz="24" w:space="0" w:color="969696" w:themeColor="accent3"/>
        <w:left w:val="single" w:sz="4" w:space="0" w:color="808080" w:themeColor="accent4"/>
        <w:bottom w:val="single" w:sz="4" w:space="0" w:color="808080" w:themeColor="accent4"/>
        <w:right w:val="single" w:sz="4" w:space="0" w:color="808080" w:themeColor="accent4"/>
        <w:insideH w:val="single" w:sz="4" w:space="0" w:color="FFFFFF" w:themeColor="background1"/>
        <w:insideV w:val="single" w:sz="4" w:space="0" w:color="FFFFFF" w:themeColor="background1"/>
      </w:tblBorders>
    </w:tblPr>
    <w:tcPr>
      <w:shd w:val="clear" w:color="auto" w:fill="F2F2F2" w:themeFill="accent4" w:themeFillTint="19"/>
    </w:tcPr>
    <w:tblStylePr w:type="firstRow">
      <w:rPr>
        <w:b/>
        <w:bCs/>
      </w:rPr>
      <w:tblPr/>
      <w:tcPr>
        <w:tcBorders>
          <w:top w:val="nil"/>
          <w:left w:val="nil"/>
          <w:bottom w:val="single" w:sz="24" w:space="0" w:color="969696"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4C4C" w:themeFill="accent4" w:themeFillShade="99"/>
      </w:tcPr>
    </w:tblStylePr>
    <w:tblStylePr w:type="firstCol">
      <w:rPr>
        <w:color w:val="FFFFFF" w:themeColor="background1"/>
      </w:rPr>
      <w:tblPr/>
      <w:tcPr>
        <w:tcBorders>
          <w:top w:val="nil"/>
          <w:left w:val="nil"/>
          <w:bottom w:val="nil"/>
          <w:right w:val="nil"/>
          <w:insideH w:val="single" w:sz="4" w:space="0" w:color="4C4C4C" w:themeColor="accent4" w:themeShade="99"/>
          <w:insideV w:val="nil"/>
        </w:tcBorders>
        <w:shd w:val="clear" w:color="auto" w:fill="4C4C4C"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4C4C" w:themeFill="accent4" w:themeFillShade="99"/>
      </w:tcPr>
    </w:tblStylePr>
    <w:tblStylePr w:type="band1Vert">
      <w:tblPr/>
      <w:tcPr>
        <w:shd w:val="clear" w:color="auto" w:fill="CCCCCC" w:themeFill="accent4" w:themeFillTint="66"/>
      </w:tcPr>
    </w:tblStylePr>
    <w:tblStylePr w:type="band1Horz">
      <w:tblPr/>
      <w:tcPr>
        <w:shd w:val="clear" w:color="auto" w:fill="BFBFB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locked/>
    <w:rsid w:val="00F80750"/>
    <w:pPr>
      <w:spacing w:after="0" w:line="240" w:lineRule="auto"/>
    </w:pPr>
    <w:rPr>
      <w:color w:val="000000" w:themeColor="text1"/>
    </w:rPr>
    <w:tblPr>
      <w:tblStyleRowBandSize w:val="1"/>
      <w:tblStyleColBandSize w:val="1"/>
      <w:tblBorders>
        <w:top w:val="single" w:sz="24" w:space="0" w:color="4D4D4D" w:themeColor="accent6"/>
        <w:left w:val="single" w:sz="4" w:space="0" w:color="5F5F5F" w:themeColor="accent5"/>
        <w:bottom w:val="single" w:sz="4" w:space="0" w:color="5F5F5F" w:themeColor="accent5"/>
        <w:right w:val="single" w:sz="4" w:space="0" w:color="5F5F5F" w:themeColor="accent5"/>
        <w:insideH w:val="single" w:sz="4" w:space="0" w:color="FFFFFF" w:themeColor="background1"/>
        <w:insideV w:val="single" w:sz="4" w:space="0" w:color="FFFFFF" w:themeColor="background1"/>
      </w:tblBorders>
    </w:tblPr>
    <w:tcPr>
      <w:shd w:val="clear" w:color="auto" w:fill="EFEFEF" w:themeFill="accent5" w:themeFillTint="19"/>
    </w:tcPr>
    <w:tblStylePr w:type="firstRow">
      <w:rPr>
        <w:b/>
        <w:bCs/>
      </w:rPr>
      <w:tblPr/>
      <w:tcPr>
        <w:tcBorders>
          <w:top w:val="nil"/>
          <w:left w:val="nil"/>
          <w:bottom w:val="single" w:sz="24" w:space="0" w:color="4D4D4D"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93939" w:themeFill="accent5" w:themeFillShade="99"/>
      </w:tcPr>
    </w:tblStylePr>
    <w:tblStylePr w:type="firstCol">
      <w:rPr>
        <w:color w:val="FFFFFF" w:themeColor="background1"/>
      </w:rPr>
      <w:tblPr/>
      <w:tcPr>
        <w:tcBorders>
          <w:top w:val="nil"/>
          <w:left w:val="nil"/>
          <w:bottom w:val="nil"/>
          <w:right w:val="nil"/>
          <w:insideH w:val="single" w:sz="4" w:space="0" w:color="393939" w:themeColor="accent5" w:themeShade="99"/>
          <w:insideV w:val="nil"/>
        </w:tcBorders>
        <w:shd w:val="clear" w:color="auto" w:fill="393939"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393939" w:themeFill="accent5" w:themeFillShade="99"/>
      </w:tcPr>
    </w:tblStylePr>
    <w:tblStylePr w:type="band1Vert">
      <w:tblPr/>
      <w:tcPr>
        <w:shd w:val="clear" w:color="auto" w:fill="BFBFBF" w:themeFill="accent5" w:themeFillTint="66"/>
      </w:tcPr>
    </w:tblStylePr>
    <w:tblStylePr w:type="band1Horz">
      <w:tblPr/>
      <w:tcPr>
        <w:shd w:val="clear" w:color="auto" w:fill="AFAFAF"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locked/>
    <w:rsid w:val="00F80750"/>
    <w:pPr>
      <w:spacing w:after="0" w:line="240" w:lineRule="auto"/>
    </w:pPr>
    <w:rPr>
      <w:color w:val="000000" w:themeColor="text1"/>
    </w:rPr>
    <w:tblPr>
      <w:tblStyleRowBandSize w:val="1"/>
      <w:tblStyleColBandSize w:val="1"/>
      <w:tblBorders>
        <w:top w:val="single" w:sz="24" w:space="0" w:color="5F5F5F" w:themeColor="accent5"/>
        <w:left w:val="single" w:sz="4" w:space="0" w:color="4D4D4D" w:themeColor="accent6"/>
        <w:bottom w:val="single" w:sz="4" w:space="0" w:color="4D4D4D" w:themeColor="accent6"/>
        <w:right w:val="single" w:sz="4" w:space="0" w:color="4D4D4D" w:themeColor="accent6"/>
        <w:insideH w:val="single" w:sz="4" w:space="0" w:color="FFFFFF" w:themeColor="background1"/>
        <w:insideV w:val="single" w:sz="4" w:space="0" w:color="FFFFFF" w:themeColor="background1"/>
      </w:tblBorders>
    </w:tblPr>
    <w:tcPr>
      <w:shd w:val="clear" w:color="auto" w:fill="EDEDED" w:themeFill="accent6" w:themeFillTint="19"/>
    </w:tcPr>
    <w:tblStylePr w:type="firstRow">
      <w:rPr>
        <w:b/>
        <w:bCs/>
      </w:rPr>
      <w:tblPr/>
      <w:tcPr>
        <w:tcBorders>
          <w:top w:val="nil"/>
          <w:left w:val="nil"/>
          <w:bottom w:val="single" w:sz="24" w:space="0" w:color="5F5F5F"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E2E2E" w:themeFill="accent6" w:themeFillShade="99"/>
      </w:tcPr>
    </w:tblStylePr>
    <w:tblStylePr w:type="firstCol">
      <w:rPr>
        <w:color w:val="FFFFFF" w:themeColor="background1"/>
      </w:rPr>
      <w:tblPr/>
      <w:tcPr>
        <w:tcBorders>
          <w:top w:val="nil"/>
          <w:left w:val="nil"/>
          <w:bottom w:val="nil"/>
          <w:right w:val="nil"/>
          <w:insideH w:val="single" w:sz="4" w:space="0" w:color="2E2E2E" w:themeColor="accent6" w:themeShade="99"/>
          <w:insideV w:val="nil"/>
        </w:tcBorders>
        <w:shd w:val="clear" w:color="auto" w:fill="2E2E2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2E2E2E" w:themeFill="accent6" w:themeFillShade="99"/>
      </w:tcPr>
    </w:tblStylePr>
    <w:tblStylePr w:type="band1Vert">
      <w:tblPr/>
      <w:tcPr>
        <w:shd w:val="clear" w:color="auto" w:fill="B7B7B7" w:themeFill="accent6" w:themeFillTint="66"/>
      </w:tcPr>
    </w:tblStylePr>
    <w:tblStylePr w:type="band1Horz">
      <w:tblPr/>
      <w:tcPr>
        <w:shd w:val="clear" w:color="auto" w:fill="A6A6A6"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locked/>
    <w:rsid w:val="00F80750"/>
    <w:rPr>
      <w:noProof w:val="0"/>
      <w:sz w:val="16"/>
      <w:szCs w:val="16"/>
      <w:lang w:val="en-AU"/>
    </w:rPr>
  </w:style>
  <w:style w:type="paragraph" w:styleId="CommentText">
    <w:name w:val="annotation text"/>
    <w:basedOn w:val="Normal"/>
    <w:link w:val="CommentTextChar"/>
    <w:uiPriority w:val="99"/>
    <w:semiHidden/>
    <w:unhideWhenUsed/>
    <w:locked/>
    <w:rsid w:val="00F80750"/>
    <w:pPr>
      <w:spacing w:line="240" w:lineRule="auto"/>
    </w:pPr>
  </w:style>
  <w:style w:type="character" w:customStyle="1" w:styleId="CommentTextChar">
    <w:name w:val="Comment Text Char"/>
    <w:basedOn w:val="DefaultParagraphFont"/>
    <w:link w:val="CommentText"/>
    <w:uiPriority w:val="99"/>
    <w:semiHidden/>
    <w:rsid w:val="00F80750"/>
    <w:rPr>
      <w:noProof w:val="0"/>
      <w:sz w:val="20"/>
      <w:szCs w:val="20"/>
      <w:lang w:val="en-AU"/>
    </w:rPr>
  </w:style>
  <w:style w:type="paragraph" w:styleId="CommentSubject">
    <w:name w:val="annotation subject"/>
    <w:basedOn w:val="CommentText"/>
    <w:next w:val="CommentText"/>
    <w:link w:val="CommentSubjectChar"/>
    <w:uiPriority w:val="99"/>
    <w:semiHidden/>
    <w:unhideWhenUsed/>
    <w:locked/>
    <w:rsid w:val="00F80750"/>
    <w:rPr>
      <w:b/>
      <w:bCs/>
    </w:rPr>
  </w:style>
  <w:style w:type="character" w:customStyle="1" w:styleId="CommentSubjectChar">
    <w:name w:val="Comment Subject Char"/>
    <w:basedOn w:val="CommentTextChar"/>
    <w:link w:val="CommentSubject"/>
    <w:uiPriority w:val="99"/>
    <w:semiHidden/>
    <w:rsid w:val="00F80750"/>
    <w:rPr>
      <w:b/>
      <w:bCs/>
      <w:noProof w:val="0"/>
      <w:sz w:val="20"/>
      <w:szCs w:val="20"/>
      <w:lang w:val="en-AU"/>
    </w:rPr>
  </w:style>
  <w:style w:type="table" w:styleId="DarkList">
    <w:name w:val="Dark List"/>
    <w:basedOn w:val="TableNormal"/>
    <w:uiPriority w:val="70"/>
    <w:locked/>
    <w:rsid w:val="00F8075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locked/>
    <w:rsid w:val="00F80750"/>
    <w:pPr>
      <w:spacing w:after="0" w:line="240" w:lineRule="auto"/>
    </w:pPr>
    <w:rPr>
      <w:color w:val="FFFFFF" w:themeColor="background1"/>
    </w:rPr>
    <w:tblPr>
      <w:tblStyleRowBandSize w:val="1"/>
      <w:tblStyleColBandSize w:val="1"/>
    </w:tblPr>
    <w:tcPr>
      <w:shd w:val="clear" w:color="auto" w:fill="DDDDD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E6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A5A5A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A5A5A5" w:themeFill="accent1" w:themeFillShade="BF"/>
      </w:tcPr>
    </w:tblStylePr>
    <w:tblStylePr w:type="band1Vert">
      <w:tblPr/>
      <w:tcPr>
        <w:tcBorders>
          <w:top w:val="nil"/>
          <w:left w:val="nil"/>
          <w:bottom w:val="nil"/>
          <w:right w:val="nil"/>
          <w:insideH w:val="nil"/>
          <w:insideV w:val="nil"/>
        </w:tcBorders>
        <w:shd w:val="clear" w:color="auto" w:fill="A5A5A5" w:themeFill="accent1" w:themeFillShade="BF"/>
      </w:tcPr>
    </w:tblStylePr>
    <w:tblStylePr w:type="band1Horz">
      <w:tblPr/>
      <w:tcPr>
        <w:tcBorders>
          <w:top w:val="nil"/>
          <w:left w:val="nil"/>
          <w:bottom w:val="nil"/>
          <w:right w:val="nil"/>
          <w:insideH w:val="nil"/>
          <w:insideV w:val="nil"/>
        </w:tcBorders>
        <w:shd w:val="clear" w:color="auto" w:fill="A5A5A5" w:themeFill="accent1" w:themeFillShade="BF"/>
      </w:tcPr>
    </w:tblStylePr>
  </w:style>
  <w:style w:type="table" w:styleId="DarkList-Accent2">
    <w:name w:val="Dark List Accent 2"/>
    <w:basedOn w:val="TableNormal"/>
    <w:uiPriority w:val="70"/>
    <w:locked/>
    <w:rsid w:val="00F80750"/>
    <w:pPr>
      <w:spacing w:after="0" w:line="240" w:lineRule="auto"/>
    </w:pPr>
    <w:rPr>
      <w:color w:val="FFFFFF" w:themeColor="background1"/>
    </w:rPr>
    <w:tblPr>
      <w:tblStyleRowBandSize w:val="1"/>
      <w:tblStyleColBandSize w:val="1"/>
    </w:tblPr>
    <w:tcPr>
      <w:shd w:val="clear" w:color="auto" w:fill="B2B2B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85858"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858585"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858585" w:themeFill="accent2" w:themeFillShade="BF"/>
      </w:tcPr>
    </w:tblStylePr>
    <w:tblStylePr w:type="band1Vert">
      <w:tblPr/>
      <w:tcPr>
        <w:tcBorders>
          <w:top w:val="nil"/>
          <w:left w:val="nil"/>
          <w:bottom w:val="nil"/>
          <w:right w:val="nil"/>
          <w:insideH w:val="nil"/>
          <w:insideV w:val="nil"/>
        </w:tcBorders>
        <w:shd w:val="clear" w:color="auto" w:fill="858585" w:themeFill="accent2" w:themeFillShade="BF"/>
      </w:tcPr>
    </w:tblStylePr>
    <w:tblStylePr w:type="band1Horz">
      <w:tblPr/>
      <w:tcPr>
        <w:tcBorders>
          <w:top w:val="nil"/>
          <w:left w:val="nil"/>
          <w:bottom w:val="nil"/>
          <w:right w:val="nil"/>
          <w:insideH w:val="nil"/>
          <w:insideV w:val="nil"/>
        </w:tcBorders>
        <w:shd w:val="clear" w:color="auto" w:fill="858585" w:themeFill="accent2" w:themeFillShade="BF"/>
      </w:tcPr>
    </w:tblStylePr>
  </w:style>
  <w:style w:type="table" w:styleId="DarkList-Accent3">
    <w:name w:val="Dark List Accent 3"/>
    <w:basedOn w:val="TableNormal"/>
    <w:uiPriority w:val="70"/>
    <w:locked/>
    <w:rsid w:val="00F80750"/>
    <w:pPr>
      <w:spacing w:after="0" w:line="240" w:lineRule="auto"/>
    </w:pPr>
    <w:rPr>
      <w:color w:val="FFFFFF" w:themeColor="background1"/>
    </w:rPr>
    <w:tblPr>
      <w:tblStyleRowBandSize w:val="1"/>
      <w:tblStyleColBandSize w:val="1"/>
    </w:tblPr>
    <w:tcPr>
      <w:shd w:val="clear" w:color="auto" w:fill="969696"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A4A4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07070"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07070" w:themeFill="accent3" w:themeFillShade="BF"/>
      </w:tcPr>
    </w:tblStylePr>
    <w:tblStylePr w:type="band1Vert">
      <w:tblPr/>
      <w:tcPr>
        <w:tcBorders>
          <w:top w:val="nil"/>
          <w:left w:val="nil"/>
          <w:bottom w:val="nil"/>
          <w:right w:val="nil"/>
          <w:insideH w:val="nil"/>
          <w:insideV w:val="nil"/>
        </w:tcBorders>
        <w:shd w:val="clear" w:color="auto" w:fill="707070" w:themeFill="accent3" w:themeFillShade="BF"/>
      </w:tcPr>
    </w:tblStylePr>
    <w:tblStylePr w:type="band1Horz">
      <w:tblPr/>
      <w:tcPr>
        <w:tcBorders>
          <w:top w:val="nil"/>
          <w:left w:val="nil"/>
          <w:bottom w:val="nil"/>
          <w:right w:val="nil"/>
          <w:insideH w:val="nil"/>
          <w:insideV w:val="nil"/>
        </w:tcBorders>
        <w:shd w:val="clear" w:color="auto" w:fill="707070" w:themeFill="accent3" w:themeFillShade="BF"/>
      </w:tcPr>
    </w:tblStylePr>
  </w:style>
  <w:style w:type="table" w:styleId="DarkList-Accent4">
    <w:name w:val="Dark List Accent 4"/>
    <w:basedOn w:val="TableNormal"/>
    <w:uiPriority w:val="70"/>
    <w:locked/>
    <w:rsid w:val="00F80750"/>
    <w:pPr>
      <w:spacing w:after="0" w:line="240" w:lineRule="auto"/>
    </w:pPr>
    <w:rPr>
      <w:color w:val="FFFFFF" w:themeColor="background1"/>
    </w:rPr>
    <w:tblPr>
      <w:tblStyleRowBandSize w:val="1"/>
      <w:tblStyleColBandSize w:val="1"/>
    </w:tblPr>
    <w:tcPr>
      <w:shd w:val="clear" w:color="auto" w:fill="80808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F3F"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5F5F"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5F5F" w:themeFill="accent4" w:themeFillShade="BF"/>
      </w:tcPr>
    </w:tblStylePr>
    <w:tblStylePr w:type="band1Vert">
      <w:tblPr/>
      <w:tcPr>
        <w:tcBorders>
          <w:top w:val="nil"/>
          <w:left w:val="nil"/>
          <w:bottom w:val="nil"/>
          <w:right w:val="nil"/>
          <w:insideH w:val="nil"/>
          <w:insideV w:val="nil"/>
        </w:tcBorders>
        <w:shd w:val="clear" w:color="auto" w:fill="5F5F5F" w:themeFill="accent4" w:themeFillShade="BF"/>
      </w:tcPr>
    </w:tblStylePr>
    <w:tblStylePr w:type="band1Horz">
      <w:tblPr/>
      <w:tcPr>
        <w:tcBorders>
          <w:top w:val="nil"/>
          <w:left w:val="nil"/>
          <w:bottom w:val="nil"/>
          <w:right w:val="nil"/>
          <w:insideH w:val="nil"/>
          <w:insideV w:val="nil"/>
        </w:tcBorders>
        <w:shd w:val="clear" w:color="auto" w:fill="5F5F5F" w:themeFill="accent4" w:themeFillShade="BF"/>
      </w:tcPr>
    </w:tblStylePr>
  </w:style>
  <w:style w:type="table" w:styleId="DarkList-Accent5">
    <w:name w:val="Dark List Accent 5"/>
    <w:basedOn w:val="TableNormal"/>
    <w:uiPriority w:val="70"/>
    <w:locked/>
    <w:rsid w:val="00F80750"/>
    <w:pPr>
      <w:spacing w:after="0" w:line="240" w:lineRule="auto"/>
    </w:pPr>
    <w:rPr>
      <w:color w:val="FFFFFF" w:themeColor="background1"/>
    </w:rPr>
    <w:tblPr>
      <w:tblStyleRowBandSize w:val="1"/>
      <w:tblStyleColBandSize w:val="1"/>
    </w:tblPr>
    <w:tcPr>
      <w:shd w:val="clear" w:color="auto" w:fill="5F5F5F"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F2F2F"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474747"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474747" w:themeFill="accent5" w:themeFillShade="BF"/>
      </w:tcPr>
    </w:tblStylePr>
    <w:tblStylePr w:type="band1Vert">
      <w:tblPr/>
      <w:tcPr>
        <w:tcBorders>
          <w:top w:val="nil"/>
          <w:left w:val="nil"/>
          <w:bottom w:val="nil"/>
          <w:right w:val="nil"/>
          <w:insideH w:val="nil"/>
          <w:insideV w:val="nil"/>
        </w:tcBorders>
        <w:shd w:val="clear" w:color="auto" w:fill="474747" w:themeFill="accent5" w:themeFillShade="BF"/>
      </w:tcPr>
    </w:tblStylePr>
    <w:tblStylePr w:type="band1Horz">
      <w:tblPr/>
      <w:tcPr>
        <w:tcBorders>
          <w:top w:val="nil"/>
          <w:left w:val="nil"/>
          <w:bottom w:val="nil"/>
          <w:right w:val="nil"/>
          <w:insideH w:val="nil"/>
          <w:insideV w:val="nil"/>
        </w:tcBorders>
        <w:shd w:val="clear" w:color="auto" w:fill="474747" w:themeFill="accent5" w:themeFillShade="BF"/>
      </w:tcPr>
    </w:tblStylePr>
  </w:style>
  <w:style w:type="table" w:styleId="DarkList-Accent6">
    <w:name w:val="Dark List Accent 6"/>
    <w:basedOn w:val="TableNormal"/>
    <w:uiPriority w:val="70"/>
    <w:locked/>
    <w:rsid w:val="00F80750"/>
    <w:pPr>
      <w:spacing w:after="0" w:line="240" w:lineRule="auto"/>
    </w:pPr>
    <w:rPr>
      <w:color w:val="FFFFFF" w:themeColor="background1"/>
    </w:rPr>
    <w:tblPr>
      <w:tblStyleRowBandSize w:val="1"/>
      <w:tblStyleColBandSize w:val="1"/>
    </w:tblPr>
    <w:tcPr>
      <w:shd w:val="clear" w:color="auto" w:fill="4D4D4D"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6262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393939"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393939" w:themeFill="accent6" w:themeFillShade="BF"/>
      </w:tcPr>
    </w:tblStylePr>
    <w:tblStylePr w:type="band1Vert">
      <w:tblPr/>
      <w:tcPr>
        <w:tcBorders>
          <w:top w:val="nil"/>
          <w:left w:val="nil"/>
          <w:bottom w:val="nil"/>
          <w:right w:val="nil"/>
          <w:insideH w:val="nil"/>
          <w:insideV w:val="nil"/>
        </w:tcBorders>
        <w:shd w:val="clear" w:color="auto" w:fill="393939" w:themeFill="accent6" w:themeFillShade="BF"/>
      </w:tcPr>
    </w:tblStylePr>
    <w:tblStylePr w:type="band1Horz">
      <w:tblPr/>
      <w:tcPr>
        <w:tcBorders>
          <w:top w:val="nil"/>
          <w:left w:val="nil"/>
          <w:bottom w:val="nil"/>
          <w:right w:val="nil"/>
          <w:insideH w:val="nil"/>
          <w:insideV w:val="nil"/>
        </w:tcBorders>
        <w:shd w:val="clear" w:color="auto" w:fill="393939" w:themeFill="accent6" w:themeFillShade="BF"/>
      </w:tcPr>
    </w:tblStylePr>
  </w:style>
  <w:style w:type="paragraph" w:styleId="Date">
    <w:name w:val="Date"/>
    <w:basedOn w:val="Normal"/>
    <w:next w:val="Normal"/>
    <w:link w:val="DateChar"/>
    <w:uiPriority w:val="99"/>
    <w:semiHidden/>
    <w:unhideWhenUsed/>
    <w:locked/>
    <w:rsid w:val="00F80750"/>
  </w:style>
  <w:style w:type="character" w:customStyle="1" w:styleId="DateChar">
    <w:name w:val="Date Char"/>
    <w:basedOn w:val="DefaultParagraphFont"/>
    <w:link w:val="Date"/>
    <w:uiPriority w:val="99"/>
    <w:semiHidden/>
    <w:rsid w:val="00F80750"/>
    <w:rPr>
      <w:noProof w:val="0"/>
      <w:lang w:val="en-AU"/>
    </w:rPr>
  </w:style>
  <w:style w:type="paragraph" w:styleId="DocumentMap">
    <w:name w:val="Document Map"/>
    <w:basedOn w:val="Normal"/>
    <w:link w:val="DocumentMapChar"/>
    <w:uiPriority w:val="99"/>
    <w:semiHidden/>
    <w:unhideWhenUsed/>
    <w:locked/>
    <w:rsid w:val="00F80750"/>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F80750"/>
    <w:rPr>
      <w:rFonts w:ascii="Tahoma" w:hAnsi="Tahoma" w:cs="Tahoma"/>
      <w:noProof w:val="0"/>
      <w:sz w:val="16"/>
      <w:szCs w:val="16"/>
      <w:lang w:val="en-AU"/>
    </w:rPr>
  </w:style>
  <w:style w:type="paragraph" w:styleId="E-mailSignature">
    <w:name w:val="E-mail Signature"/>
    <w:basedOn w:val="Normal"/>
    <w:link w:val="E-mailSignatureChar"/>
    <w:uiPriority w:val="99"/>
    <w:semiHidden/>
    <w:unhideWhenUsed/>
    <w:locked/>
    <w:rsid w:val="00F80750"/>
    <w:pPr>
      <w:spacing w:after="0" w:line="240" w:lineRule="auto"/>
    </w:pPr>
  </w:style>
  <w:style w:type="character" w:customStyle="1" w:styleId="E-mailSignatureChar">
    <w:name w:val="E-mail Signature Char"/>
    <w:basedOn w:val="DefaultParagraphFont"/>
    <w:link w:val="E-mailSignature"/>
    <w:uiPriority w:val="99"/>
    <w:semiHidden/>
    <w:rsid w:val="00F80750"/>
    <w:rPr>
      <w:noProof w:val="0"/>
      <w:lang w:val="en-AU"/>
    </w:rPr>
  </w:style>
  <w:style w:type="character" w:styleId="Emphasis">
    <w:name w:val="Emphasis"/>
    <w:basedOn w:val="DefaultParagraphFont"/>
    <w:uiPriority w:val="20"/>
    <w:semiHidden/>
    <w:qFormat/>
    <w:locked/>
    <w:rsid w:val="00F80750"/>
    <w:rPr>
      <w:i/>
      <w:iCs/>
      <w:noProof w:val="0"/>
      <w:lang w:val="en-AU"/>
    </w:rPr>
  </w:style>
  <w:style w:type="character" w:styleId="EndnoteReference">
    <w:name w:val="endnote reference"/>
    <w:basedOn w:val="DefaultParagraphFont"/>
    <w:uiPriority w:val="99"/>
    <w:rsid w:val="00F80750"/>
    <w:rPr>
      <w:noProof w:val="0"/>
      <w:vertAlign w:val="superscript"/>
      <w:lang w:val="en-AU"/>
    </w:rPr>
  </w:style>
  <w:style w:type="paragraph" w:styleId="EndnoteText">
    <w:name w:val="endnote text"/>
    <w:basedOn w:val="Normal"/>
    <w:link w:val="EndnoteTextChar"/>
    <w:uiPriority w:val="99"/>
    <w:rsid w:val="00F80750"/>
    <w:pPr>
      <w:spacing w:after="0" w:line="240" w:lineRule="auto"/>
    </w:pPr>
  </w:style>
  <w:style w:type="character" w:customStyle="1" w:styleId="EndnoteTextChar">
    <w:name w:val="Endnote Text Char"/>
    <w:basedOn w:val="DefaultParagraphFont"/>
    <w:link w:val="EndnoteText"/>
    <w:uiPriority w:val="99"/>
    <w:rsid w:val="00F80750"/>
    <w:rPr>
      <w:noProof w:val="0"/>
      <w:sz w:val="20"/>
      <w:szCs w:val="20"/>
      <w:lang w:val="en-AU"/>
    </w:rPr>
  </w:style>
  <w:style w:type="paragraph" w:styleId="EnvelopeAddress">
    <w:name w:val="envelope address"/>
    <w:basedOn w:val="Normal"/>
    <w:uiPriority w:val="99"/>
    <w:semiHidden/>
    <w:unhideWhenUsed/>
    <w:locked/>
    <w:rsid w:val="00F80750"/>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locked/>
    <w:rsid w:val="00F80750"/>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rsid w:val="00E80011"/>
    <w:rPr>
      <w:noProof w:val="0"/>
      <w:color w:val="800080"/>
      <w:u w:val="single"/>
      <w:lang w:val="en-AU"/>
    </w:rPr>
  </w:style>
  <w:style w:type="character" w:styleId="FootnoteReference">
    <w:name w:val="footnote reference"/>
    <w:basedOn w:val="DefaultParagraphFont"/>
    <w:uiPriority w:val="99"/>
    <w:rsid w:val="00F80750"/>
    <w:rPr>
      <w:noProof w:val="0"/>
      <w:vertAlign w:val="superscript"/>
      <w:lang w:val="en-AU"/>
    </w:rPr>
  </w:style>
  <w:style w:type="paragraph" w:styleId="FootnoteText">
    <w:name w:val="footnote text"/>
    <w:basedOn w:val="Normal"/>
    <w:link w:val="FootnoteTextChar"/>
    <w:uiPriority w:val="99"/>
    <w:rsid w:val="00F80750"/>
    <w:pPr>
      <w:spacing w:after="0" w:line="240" w:lineRule="auto"/>
    </w:pPr>
  </w:style>
  <w:style w:type="character" w:customStyle="1" w:styleId="FootnoteTextChar">
    <w:name w:val="Footnote Text Char"/>
    <w:basedOn w:val="DefaultParagraphFont"/>
    <w:link w:val="FootnoteText"/>
    <w:uiPriority w:val="99"/>
    <w:rsid w:val="00F80750"/>
    <w:rPr>
      <w:noProof w:val="0"/>
      <w:sz w:val="20"/>
      <w:szCs w:val="20"/>
      <w:lang w:val="en-AU"/>
    </w:rPr>
  </w:style>
  <w:style w:type="character" w:customStyle="1" w:styleId="Heading5Char">
    <w:name w:val="Heading 5 Char"/>
    <w:basedOn w:val="DefaultParagraphFont"/>
    <w:link w:val="Heading5"/>
    <w:uiPriority w:val="9"/>
    <w:semiHidden/>
    <w:rsid w:val="00F80750"/>
    <w:rPr>
      <w:rFonts w:asciiTheme="majorHAnsi" w:eastAsiaTheme="majorEastAsia" w:hAnsiTheme="majorHAnsi" w:cstheme="majorBidi"/>
      <w:noProof w:val="0"/>
      <w:color w:val="6E6E6E" w:themeColor="accent1" w:themeShade="7F"/>
      <w:lang w:val="en-AU"/>
    </w:rPr>
  </w:style>
  <w:style w:type="character" w:customStyle="1" w:styleId="Heading6Char">
    <w:name w:val="Heading 6 Char"/>
    <w:basedOn w:val="DefaultParagraphFont"/>
    <w:link w:val="Heading6"/>
    <w:uiPriority w:val="9"/>
    <w:semiHidden/>
    <w:rsid w:val="00F80750"/>
    <w:rPr>
      <w:rFonts w:asciiTheme="majorHAnsi" w:eastAsiaTheme="majorEastAsia" w:hAnsiTheme="majorHAnsi" w:cstheme="majorBidi"/>
      <w:i/>
      <w:iCs/>
      <w:noProof w:val="0"/>
      <w:color w:val="6E6E6E" w:themeColor="accent1" w:themeShade="7F"/>
      <w:lang w:val="en-AU"/>
    </w:rPr>
  </w:style>
  <w:style w:type="character" w:customStyle="1" w:styleId="Heading7Char">
    <w:name w:val="Heading 7 Char"/>
    <w:basedOn w:val="DefaultParagraphFont"/>
    <w:link w:val="Heading7"/>
    <w:uiPriority w:val="9"/>
    <w:semiHidden/>
    <w:rsid w:val="00F80750"/>
    <w:rPr>
      <w:rFonts w:asciiTheme="majorHAnsi" w:eastAsiaTheme="majorEastAsia" w:hAnsiTheme="majorHAnsi" w:cstheme="majorBidi"/>
      <w:i/>
      <w:iCs/>
      <w:noProof w:val="0"/>
      <w:color w:val="404040" w:themeColor="text1" w:themeTint="BF"/>
      <w:lang w:val="en-AU"/>
    </w:rPr>
  </w:style>
  <w:style w:type="character" w:customStyle="1" w:styleId="Heading8Char">
    <w:name w:val="Heading 8 Char"/>
    <w:basedOn w:val="DefaultParagraphFont"/>
    <w:link w:val="Heading8"/>
    <w:uiPriority w:val="9"/>
    <w:semiHidden/>
    <w:rsid w:val="00F80750"/>
    <w:rPr>
      <w:rFonts w:asciiTheme="majorHAnsi" w:eastAsiaTheme="majorEastAsia" w:hAnsiTheme="majorHAnsi" w:cstheme="majorBidi"/>
      <w:noProof w:val="0"/>
      <w:color w:val="404040" w:themeColor="text1" w:themeTint="BF"/>
      <w:sz w:val="20"/>
      <w:szCs w:val="20"/>
      <w:lang w:val="en-AU"/>
    </w:rPr>
  </w:style>
  <w:style w:type="character" w:customStyle="1" w:styleId="Heading9Char">
    <w:name w:val="Heading 9 Char"/>
    <w:basedOn w:val="DefaultParagraphFont"/>
    <w:link w:val="Heading9"/>
    <w:uiPriority w:val="9"/>
    <w:semiHidden/>
    <w:rsid w:val="00F80750"/>
    <w:rPr>
      <w:rFonts w:asciiTheme="majorHAnsi" w:eastAsiaTheme="majorEastAsia" w:hAnsiTheme="majorHAnsi" w:cstheme="majorBidi"/>
      <w:i/>
      <w:iCs/>
      <w:noProof w:val="0"/>
      <w:color w:val="404040" w:themeColor="text1" w:themeTint="BF"/>
      <w:sz w:val="20"/>
      <w:szCs w:val="20"/>
      <w:lang w:val="en-AU"/>
    </w:rPr>
  </w:style>
  <w:style w:type="character" w:styleId="HTMLAcronym">
    <w:name w:val="HTML Acronym"/>
    <w:basedOn w:val="DefaultParagraphFont"/>
    <w:uiPriority w:val="99"/>
    <w:semiHidden/>
    <w:unhideWhenUsed/>
    <w:locked/>
    <w:rsid w:val="00F80750"/>
    <w:rPr>
      <w:noProof w:val="0"/>
      <w:lang w:val="en-AU"/>
    </w:rPr>
  </w:style>
  <w:style w:type="paragraph" w:styleId="HTMLAddress">
    <w:name w:val="HTML Address"/>
    <w:basedOn w:val="Normal"/>
    <w:link w:val="HTMLAddressChar"/>
    <w:uiPriority w:val="99"/>
    <w:semiHidden/>
    <w:unhideWhenUsed/>
    <w:locked/>
    <w:rsid w:val="00F80750"/>
    <w:pPr>
      <w:spacing w:after="0" w:line="240" w:lineRule="auto"/>
    </w:pPr>
    <w:rPr>
      <w:i/>
      <w:iCs/>
    </w:rPr>
  </w:style>
  <w:style w:type="character" w:customStyle="1" w:styleId="HTMLAddressChar">
    <w:name w:val="HTML Address Char"/>
    <w:basedOn w:val="DefaultParagraphFont"/>
    <w:link w:val="HTMLAddress"/>
    <w:uiPriority w:val="99"/>
    <w:semiHidden/>
    <w:rsid w:val="00F80750"/>
    <w:rPr>
      <w:i/>
      <w:iCs/>
      <w:noProof w:val="0"/>
      <w:lang w:val="en-AU"/>
    </w:rPr>
  </w:style>
  <w:style w:type="character" w:styleId="HTMLCite">
    <w:name w:val="HTML Cite"/>
    <w:basedOn w:val="DefaultParagraphFont"/>
    <w:uiPriority w:val="99"/>
    <w:semiHidden/>
    <w:unhideWhenUsed/>
    <w:locked/>
    <w:rsid w:val="00F80750"/>
    <w:rPr>
      <w:i/>
      <w:iCs/>
      <w:noProof w:val="0"/>
      <w:lang w:val="en-AU"/>
    </w:rPr>
  </w:style>
  <w:style w:type="character" w:styleId="HTMLCode">
    <w:name w:val="HTML Code"/>
    <w:basedOn w:val="DefaultParagraphFont"/>
    <w:uiPriority w:val="99"/>
    <w:semiHidden/>
    <w:unhideWhenUsed/>
    <w:locked/>
    <w:rsid w:val="00F80750"/>
    <w:rPr>
      <w:rFonts w:ascii="Consolas" w:hAnsi="Consolas"/>
      <w:noProof w:val="0"/>
      <w:sz w:val="20"/>
      <w:szCs w:val="20"/>
      <w:lang w:val="en-AU"/>
    </w:rPr>
  </w:style>
  <w:style w:type="character" w:styleId="HTMLDefinition">
    <w:name w:val="HTML Definition"/>
    <w:basedOn w:val="DefaultParagraphFont"/>
    <w:uiPriority w:val="99"/>
    <w:semiHidden/>
    <w:unhideWhenUsed/>
    <w:locked/>
    <w:rsid w:val="00F80750"/>
    <w:rPr>
      <w:i/>
      <w:iCs/>
      <w:noProof w:val="0"/>
      <w:lang w:val="en-AU"/>
    </w:rPr>
  </w:style>
  <w:style w:type="character" w:styleId="HTMLKeyboard">
    <w:name w:val="HTML Keyboard"/>
    <w:basedOn w:val="DefaultParagraphFont"/>
    <w:uiPriority w:val="99"/>
    <w:semiHidden/>
    <w:unhideWhenUsed/>
    <w:locked/>
    <w:rsid w:val="00F80750"/>
    <w:rPr>
      <w:rFonts w:ascii="Consolas" w:hAnsi="Consolas"/>
      <w:noProof w:val="0"/>
      <w:sz w:val="20"/>
      <w:szCs w:val="20"/>
      <w:lang w:val="en-AU"/>
    </w:rPr>
  </w:style>
  <w:style w:type="paragraph" w:styleId="HTMLPreformatted">
    <w:name w:val="HTML Preformatted"/>
    <w:basedOn w:val="Normal"/>
    <w:link w:val="HTMLPreformattedChar"/>
    <w:uiPriority w:val="99"/>
    <w:semiHidden/>
    <w:unhideWhenUsed/>
    <w:locked/>
    <w:rsid w:val="00F80750"/>
    <w:pPr>
      <w:spacing w:after="0" w:line="240" w:lineRule="auto"/>
    </w:pPr>
    <w:rPr>
      <w:rFonts w:ascii="Consolas" w:hAnsi="Consolas"/>
    </w:rPr>
  </w:style>
  <w:style w:type="character" w:customStyle="1" w:styleId="HTMLPreformattedChar">
    <w:name w:val="HTML Preformatted Char"/>
    <w:basedOn w:val="DefaultParagraphFont"/>
    <w:link w:val="HTMLPreformatted"/>
    <w:uiPriority w:val="99"/>
    <w:semiHidden/>
    <w:rsid w:val="00F80750"/>
    <w:rPr>
      <w:rFonts w:ascii="Consolas" w:hAnsi="Consolas"/>
      <w:noProof w:val="0"/>
      <w:sz w:val="20"/>
      <w:szCs w:val="20"/>
      <w:lang w:val="en-AU"/>
    </w:rPr>
  </w:style>
  <w:style w:type="character" w:styleId="HTMLSample">
    <w:name w:val="HTML Sample"/>
    <w:basedOn w:val="DefaultParagraphFont"/>
    <w:uiPriority w:val="99"/>
    <w:semiHidden/>
    <w:unhideWhenUsed/>
    <w:locked/>
    <w:rsid w:val="00F80750"/>
    <w:rPr>
      <w:rFonts w:ascii="Consolas" w:hAnsi="Consolas"/>
      <w:noProof w:val="0"/>
      <w:sz w:val="24"/>
      <w:szCs w:val="24"/>
      <w:lang w:val="en-AU"/>
    </w:rPr>
  </w:style>
  <w:style w:type="character" w:styleId="HTMLTypewriter">
    <w:name w:val="HTML Typewriter"/>
    <w:basedOn w:val="DefaultParagraphFont"/>
    <w:uiPriority w:val="99"/>
    <w:semiHidden/>
    <w:unhideWhenUsed/>
    <w:locked/>
    <w:rsid w:val="00F80750"/>
    <w:rPr>
      <w:rFonts w:ascii="Consolas" w:hAnsi="Consolas"/>
      <w:noProof w:val="0"/>
      <w:sz w:val="20"/>
      <w:szCs w:val="20"/>
      <w:lang w:val="en-AU"/>
    </w:rPr>
  </w:style>
  <w:style w:type="character" w:styleId="HTMLVariable">
    <w:name w:val="HTML Variable"/>
    <w:basedOn w:val="DefaultParagraphFont"/>
    <w:uiPriority w:val="99"/>
    <w:semiHidden/>
    <w:unhideWhenUsed/>
    <w:locked/>
    <w:rsid w:val="00F80750"/>
    <w:rPr>
      <w:i/>
      <w:iCs/>
      <w:noProof w:val="0"/>
      <w:lang w:val="en-AU"/>
    </w:rPr>
  </w:style>
  <w:style w:type="paragraph" w:styleId="Index1">
    <w:name w:val="index 1"/>
    <w:basedOn w:val="Normal"/>
    <w:next w:val="Normal"/>
    <w:autoRedefine/>
    <w:uiPriority w:val="99"/>
    <w:semiHidden/>
    <w:unhideWhenUsed/>
    <w:locked/>
    <w:rsid w:val="00F80750"/>
    <w:pPr>
      <w:spacing w:after="0" w:line="240" w:lineRule="auto"/>
      <w:ind w:left="190" w:hanging="190"/>
    </w:pPr>
  </w:style>
  <w:style w:type="paragraph" w:styleId="Index2">
    <w:name w:val="index 2"/>
    <w:basedOn w:val="Normal"/>
    <w:next w:val="Normal"/>
    <w:autoRedefine/>
    <w:uiPriority w:val="99"/>
    <w:semiHidden/>
    <w:unhideWhenUsed/>
    <w:locked/>
    <w:rsid w:val="00F80750"/>
    <w:pPr>
      <w:spacing w:after="0" w:line="240" w:lineRule="auto"/>
      <w:ind w:left="380" w:hanging="190"/>
    </w:pPr>
  </w:style>
  <w:style w:type="paragraph" w:styleId="Index3">
    <w:name w:val="index 3"/>
    <w:basedOn w:val="Normal"/>
    <w:next w:val="Normal"/>
    <w:autoRedefine/>
    <w:uiPriority w:val="99"/>
    <w:semiHidden/>
    <w:unhideWhenUsed/>
    <w:locked/>
    <w:rsid w:val="00F80750"/>
    <w:pPr>
      <w:spacing w:after="0" w:line="240" w:lineRule="auto"/>
      <w:ind w:left="570" w:hanging="190"/>
    </w:pPr>
  </w:style>
  <w:style w:type="paragraph" w:styleId="Index4">
    <w:name w:val="index 4"/>
    <w:basedOn w:val="Normal"/>
    <w:next w:val="Normal"/>
    <w:autoRedefine/>
    <w:uiPriority w:val="99"/>
    <w:semiHidden/>
    <w:unhideWhenUsed/>
    <w:locked/>
    <w:rsid w:val="00F80750"/>
    <w:pPr>
      <w:spacing w:after="0" w:line="240" w:lineRule="auto"/>
      <w:ind w:left="760" w:hanging="190"/>
    </w:pPr>
  </w:style>
  <w:style w:type="paragraph" w:styleId="Index5">
    <w:name w:val="index 5"/>
    <w:basedOn w:val="Normal"/>
    <w:next w:val="Normal"/>
    <w:autoRedefine/>
    <w:uiPriority w:val="99"/>
    <w:semiHidden/>
    <w:unhideWhenUsed/>
    <w:locked/>
    <w:rsid w:val="00F80750"/>
    <w:pPr>
      <w:spacing w:after="0" w:line="240" w:lineRule="auto"/>
      <w:ind w:left="950" w:hanging="190"/>
    </w:pPr>
  </w:style>
  <w:style w:type="paragraph" w:styleId="Index6">
    <w:name w:val="index 6"/>
    <w:basedOn w:val="Normal"/>
    <w:next w:val="Normal"/>
    <w:autoRedefine/>
    <w:uiPriority w:val="99"/>
    <w:semiHidden/>
    <w:unhideWhenUsed/>
    <w:locked/>
    <w:rsid w:val="00F80750"/>
    <w:pPr>
      <w:spacing w:after="0" w:line="240" w:lineRule="auto"/>
      <w:ind w:left="1140" w:hanging="190"/>
    </w:pPr>
  </w:style>
  <w:style w:type="paragraph" w:styleId="Index7">
    <w:name w:val="index 7"/>
    <w:basedOn w:val="Normal"/>
    <w:next w:val="Normal"/>
    <w:autoRedefine/>
    <w:uiPriority w:val="99"/>
    <w:semiHidden/>
    <w:unhideWhenUsed/>
    <w:locked/>
    <w:rsid w:val="00F80750"/>
    <w:pPr>
      <w:spacing w:after="0" w:line="240" w:lineRule="auto"/>
      <w:ind w:left="1330" w:hanging="190"/>
    </w:pPr>
  </w:style>
  <w:style w:type="paragraph" w:styleId="Index8">
    <w:name w:val="index 8"/>
    <w:basedOn w:val="Normal"/>
    <w:next w:val="Normal"/>
    <w:autoRedefine/>
    <w:uiPriority w:val="99"/>
    <w:semiHidden/>
    <w:unhideWhenUsed/>
    <w:locked/>
    <w:rsid w:val="00F80750"/>
    <w:pPr>
      <w:spacing w:after="0" w:line="240" w:lineRule="auto"/>
      <w:ind w:left="1520" w:hanging="190"/>
    </w:pPr>
  </w:style>
  <w:style w:type="paragraph" w:styleId="Index9">
    <w:name w:val="index 9"/>
    <w:basedOn w:val="Normal"/>
    <w:next w:val="Normal"/>
    <w:autoRedefine/>
    <w:uiPriority w:val="99"/>
    <w:semiHidden/>
    <w:unhideWhenUsed/>
    <w:locked/>
    <w:rsid w:val="00F80750"/>
    <w:pPr>
      <w:spacing w:after="0" w:line="240" w:lineRule="auto"/>
      <w:ind w:left="1710" w:hanging="190"/>
    </w:pPr>
  </w:style>
  <w:style w:type="paragraph" w:styleId="IndexHeading">
    <w:name w:val="index heading"/>
    <w:basedOn w:val="Normal"/>
    <w:next w:val="Index1"/>
    <w:uiPriority w:val="99"/>
    <w:semiHidden/>
    <w:unhideWhenUsed/>
    <w:locked/>
    <w:rsid w:val="00F80750"/>
    <w:rPr>
      <w:rFonts w:asciiTheme="majorHAnsi" w:eastAsiaTheme="majorEastAsia" w:hAnsiTheme="majorHAnsi" w:cstheme="majorBidi"/>
      <w:b/>
      <w:bCs/>
    </w:rPr>
  </w:style>
  <w:style w:type="character" w:styleId="IntenseEmphasis">
    <w:name w:val="Intense Emphasis"/>
    <w:basedOn w:val="DefaultParagraphFont"/>
    <w:uiPriority w:val="21"/>
    <w:semiHidden/>
    <w:qFormat/>
    <w:locked/>
    <w:rsid w:val="00F80750"/>
    <w:rPr>
      <w:b/>
      <w:bCs/>
      <w:i/>
      <w:iCs/>
      <w:noProof w:val="0"/>
      <w:color w:val="DDDDDD" w:themeColor="accent1"/>
      <w:lang w:val="en-AU"/>
    </w:rPr>
  </w:style>
  <w:style w:type="paragraph" w:styleId="IntenseQuote">
    <w:name w:val="Intense Quote"/>
    <w:basedOn w:val="Normal"/>
    <w:next w:val="Normal"/>
    <w:link w:val="IntenseQuoteChar"/>
    <w:uiPriority w:val="30"/>
    <w:semiHidden/>
    <w:qFormat/>
    <w:locked/>
    <w:rsid w:val="00F80750"/>
    <w:pPr>
      <w:pBdr>
        <w:bottom w:val="single" w:sz="4" w:space="4" w:color="DDDDDD" w:themeColor="accent1"/>
      </w:pBdr>
      <w:spacing w:before="200" w:after="280"/>
      <w:ind w:left="936" w:right="936"/>
    </w:pPr>
    <w:rPr>
      <w:b/>
      <w:bCs/>
      <w:i/>
      <w:iCs/>
      <w:color w:val="DDDDDD" w:themeColor="accent1"/>
    </w:rPr>
  </w:style>
  <w:style w:type="character" w:customStyle="1" w:styleId="IntenseQuoteChar">
    <w:name w:val="Intense Quote Char"/>
    <w:basedOn w:val="DefaultParagraphFont"/>
    <w:link w:val="IntenseQuote"/>
    <w:uiPriority w:val="30"/>
    <w:semiHidden/>
    <w:rsid w:val="00F80750"/>
    <w:rPr>
      <w:b/>
      <w:bCs/>
      <w:i/>
      <w:iCs/>
      <w:noProof w:val="0"/>
      <w:color w:val="DDDDDD" w:themeColor="accent1"/>
      <w:lang w:val="en-AU"/>
    </w:rPr>
  </w:style>
  <w:style w:type="character" w:styleId="IntenseReference">
    <w:name w:val="Intense Reference"/>
    <w:basedOn w:val="DefaultParagraphFont"/>
    <w:uiPriority w:val="32"/>
    <w:semiHidden/>
    <w:qFormat/>
    <w:locked/>
    <w:rsid w:val="00F80750"/>
    <w:rPr>
      <w:b/>
      <w:bCs/>
      <w:smallCaps/>
      <w:noProof w:val="0"/>
      <w:color w:val="B2B2B2" w:themeColor="accent2"/>
      <w:spacing w:val="5"/>
      <w:u w:val="single"/>
      <w:lang w:val="en-AU"/>
    </w:rPr>
  </w:style>
  <w:style w:type="table" w:styleId="LightGrid">
    <w:name w:val="Light Grid"/>
    <w:basedOn w:val="TableNormal"/>
    <w:uiPriority w:val="62"/>
    <w:locked/>
    <w:rsid w:val="00F80750"/>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locked/>
    <w:rsid w:val="00F80750"/>
    <w:pPr>
      <w:spacing w:after="0" w:line="240" w:lineRule="auto"/>
    </w:pPr>
    <w:tblPr>
      <w:tblStyleRowBandSize w:val="1"/>
      <w:tblStyleColBandSize w:val="1"/>
      <w:tblBorders>
        <w:top w:val="single" w:sz="8" w:space="0" w:color="DDDDDD" w:themeColor="accent1"/>
        <w:left w:val="single" w:sz="8" w:space="0" w:color="DDDDDD" w:themeColor="accent1"/>
        <w:bottom w:val="single" w:sz="8" w:space="0" w:color="DDDDDD" w:themeColor="accent1"/>
        <w:right w:val="single" w:sz="8" w:space="0" w:color="DDDDDD" w:themeColor="accent1"/>
        <w:insideH w:val="single" w:sz="8" w:space="0" w:color="DDDDDD" w:themeColor="accent1"/>
        <w:insideV w:val="single" w:sz="8" w:space="0" w:color="DDDDD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DDDDDD" w:themeColor="accent1"/>
          <w:left w:val="single" w:sz="8" w:space="0" w:color="DDDDDD" w:themeColor="accent1"/>
          <w:bottom w:val="single" w:sz="18" w:space="0" w:color="DDDDDD" w:themeColor="accent1"/>
          <w:right w:val="single" w:sz="8" w:space="0" w:color="DDDDDD" w:themeColor="accent1"/>
          <w:insideH w:val="nil"/>
          <w:insideV w:val="single" w:sz="8" w:space="0" w:color="DDDDD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DDDDDD" w:themeColor="accent1"/>
          <w:left w:val="single" w:sz="8" w:space="0" w:color="DDDDDD" w:themeColor="accent1"/>
          <w:bottom w:val="single" w:sz="8" w:space="0" w:color="DDDDDD" w:themeColor="accent1"/>
          <w:right w:val="single" w:sz="8" w:space="0" w:color="DDDDDD" w:themeColor="accent1"/>
          <w:insideH w:val="nil"/>
          <w:insideV w:val="single" w:sz="8" w:space="0" w:color="DDDDD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DDDDDD" w:themeColor="accent1"/>
          <w:left w:val="single" w:sz="8" w:space="0" w:color="DDDDDD" w:themeColor="accent1"/>
          <w:bottom w:val="single" w:sz="8" w:space="0" w:color="DDDDDD" w:themeColor="accent1"/>
          <w:right w:val="single" w:sz="8" w:space="0" w:color="DDDDDD" w:themeColor="accent1"/>
        </w:tcBorders>
      </w:tcPr>
    </w:tblStylePr>
    <w:tblStylePr w:type="band1Vert">
      <w:tblPr/>
      <w:tcPr>
        <w:tcBorders>
          <w:top w:val="single" w:sz="8" w:space="0" w:color="DDDDDD" w:themeColor="accent1"/>
          <w:left w:val="single" w:sz="8" w:space="0" w:color="DDDDDD" w:themeColor="accent1"/>
          <w:bottom w:val="single" w:sz="8" w:space="0" w:color="DDDDDD" w:themeColor="accent1"/>
          <w:right w:val="single" w:sz="8" w:space="0" w:color="DDDDDD" w:themeColor="accent1"/>
        </w:tcBorders>
        <w:shd w:val="clear" w:color="auto" w:fill="F6F6F6" w:themeFill="accent1" w:themeFillTint="3F"/>
      </w:tcPr>
    </w:tblStylePr>
    <w:tblStylePr w:type="band1Horz">
      <w:tblPr/>
      <w:tcPr>
        <w:tcBorders>
          <w:top w:val="single" w:sz="8" w:space="0" w:color="DDDDDD" w:themeColor="accent1"/>
          <w:left w:val="single" w:sz="8" w:space="0" w:color="DDDDDD" w:themeColor="accent1"/>
          <w:bottom w:val="single" w:sz="8" w:space="0" w:color="DDDDDD" w:themeColor="accent1"/>
          <w:right w:val="single" w:sz="8" w:space="0" w:color="DDDDDD" w:themeColor="accent1"/>
          <w:insideV w:val="single" w:sz="8" w:space="0" w:color="DDDDDD" w:themeColor="accent1"/>
        </w:tcBorders>
        <w:shd w:val="clear" w:color="auto" w:fill="F6F6F6" w:themeFill="accent1" w:themeFillTint="3F"/>
      </w:tcPr>
    </w:tblStylePr>
    <w:tblStylePr w:type="band2Horz">
      <w:tblPr/>
      <w:tcPr>
        <w:tcBorders>
          <w:top w:val="single" w:sz="8" w:space="0" w:color="DDDDDD" w:themeColor="accent1"/>
          <w:left w:val="single" w:sz="8" w:space="0" w:color="DDDDDD" w:themeColor="accent1"/>
          <w:bottom w:val="single" w:sz="8" w:space="0" w:color="DDDDDD" w:themeColor="accent1"/>
          <w:right w:val="single" w:sz="8" w:space="0" w:color="DDDDDD" w:themeColor="accent1"/>
          <w:insideV w:val="single" w:sz="8" w:space="0" w:color="DDDDDD" w:themeColor="accent1"/>
        </w:tcBorders>
      </w:tcPr>
    </w:tblStylePr>
  </w:style>
  <w:style w:type="table" w:styleId="LightGrid-Accent2">
    <w:name w:val="Light Grid Accent 2"/>
    <w:basedOn w:val="TableNormal"/>
    <w:uiPriority w:val="62"/>
    <w:locked/>
    <w:rsid w:val="00F80750"/>
    <w:pPr>
      <w:spacing w:after="0" w:line="240" w:lineRule="auto"/>
    </w:pPr>
    <w:tblPr>
      <w:tblStyleRowBandSize w:val="1"/>
      <w:tblStyleColBandSize w:val="1"/>
      <w:tblBorders>
        <w:top w:val="single" w:sz="8" w:space="0" w:color="B2B2B2" w:themeColor="accent2"/>
        <w:left w:val="single" w:sz="8" w:space="0" w:color="B2B2B2" w:themeColor="accent2"/>
        <w:bottom w:val="single" w:sz="8" w:space="0" w:color="B2B2B2" w:themeColor="accent2"/>
        <w:right w:val="single" w:sz="8" w:space="0" w:color="B2B2B2" w:themeColor="accent2"/>
        <w:insideH w:val="single" w:sz="8" w:space="0" w:color="B2B2B2" w:themeColor="accent2"/>
        <w:insideV w:val="single" w:sz="8" w:space="0" w:color="B2B2B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2B2B2" w:themeColor="accent2"/>
          <w:left w:val="single" w:sz="8" w:space="0" w:color="B2B2B2" w:themeColor="accent2"/>
          <w:bottom w:val="single" w:sz="18" w:space="0" w:color="B2B2B2" w:themeColor="accent2"/>
          <w:right w:val="single" w:sz="8" w:space="0" w:color="B2B2B2" w:themeColor="accent2"/>
          <w:insideH w:val="nil"/>
          <w:insideV w:val="single" w:sz="8" w:space="0" w:color="B2B2B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2B2B2" w:themeColor="accent2"/>
          <w:left w:val="single" w:sz="8" w:space="0" w:color="B2B2B2" w:themeColor="accent2"/>
          <w:bottom w:val="single" w:sz="8" w:space="0" w:color="B2B2B2" w:themeColor="accent2"/>
          <w:right w:val="single" w:sz="8" w:space="0" w:color="B2B2B2" w:themeColor="accent2"/>
          <w:insideH w:val="nil"/>
          <w:insideV w:val="single" w:sz="8" w:space="0" w:color="B2B2B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2B2B2" w:themeColor="accent2"/>
          <w:left w:val="single" w:sz="8" w:space="0" w:color="B2B2B2" w:themeColor="accent2"/>
          <w:bottom w:val="single" w:sz="8" w:space="0" w:color="B2B2B2" w:themeColor="accent2"/>
          <w:right w:val="single" w:sz="8" w:space="0" w:color="B2B2B2" w:themeColor="accent2"/>
        </w:tcBorders>
      </w:tcPr>
    </w:tblStylePr>
    <w:tblStylePr w:type="band1Vert">
      <w:tblPr/>
      <w:tcPr>
        <w:tcBorders>
          <w:top w:val="single" w:sz="8" w:space="0" w:color="B2B2B2" w:themeColor="accent2"/>
          <w:left w:val="single" w:sz="8" w:space="0" w:color="B2B2B2" w:themeColor="accent2"/>
          <w:bottom w:val="single" w:sz="8" w:space="0" w:color="B2B2B2" w:themeColor="accent2"/>
          <w:right w:val="single" w:sz="8" w:space="0" w:color="B2B2B2" w:themeColor="accent2"/>
        </w:tcBorders>
        <w:shd w:val="clear" w:color="auto" w:fill="EBEBEB" w:themeFill="accent2" w:themeFillTint="3F"/>
      </w:tcPr>
    </w:tblStylePr>
    <w:tblStylePr w:type="band1Horz">
      <w:tblPr/>
      <w:tcPr>
        <w:tcBorders>
          <w:top w:val="single" w:sz="8" w:space="0" w:color="B2B2B2" w:themeColor="accent2"/>
          <w:left w:val="single" w:sz="8" w:space="0" w:color="B2B2B2" w:themeColor="accent2"/>
          <w:bottom w:val="single" w:sz="8" w:space="0" w:color="B2B2B2" w:themeColor="accent2"/>
          <w:right w:val="single" w:sz="8" w:space="0" w:color="B2B2B2" w:themeColor="accent2"/>
          <w:insideV w:val="single" w:sz="8" w:space="0" w:color="B2B2B2" w:themeColor="accent2"/>
        </w:tcBorders>
        <w:shd w:val="clear" w:color="auto" w:fill="EBEBEB" w:themeFill="accent2" w:themeFillTint="3F"/>
      </w:tcPr>
    </w:tblStylePr>
    <w:tblStylePr w:type="band2Horz">
      <w:tblPr/>
      <w:tcPr>
        <w:tcBorders>
          <w:top w:val="single" w:sz="8" w:space="0" w:color="B2B2B2" w:themeColor="accent2"/>
          <w:left w:val="single" w:sz="8" w:space="0" w:color="B2B2B2" w:themeColor="accent2"/>
          <w:bottom w:val="single" w:sz="8" w:space="0" w:color="B2B2B2" w:themeColor="accent2"/>
          <w:right w:val="single" w:sz="8" w:space="0" w:color="B2B2B2" w:themeColor="accent2"/>
          <w:insideV w:val="single" w:sz="8" w:space="0" w:color="B2B2B2" w:themeColor="accent2"/>
        </w:tcBorders>
      </w:tcPr>
    </w:tblStylePr>
  </w:style>
  <w:style w:type="table" w:styleId="LightGrid-Accent3">
    <w:name w:val="Light Grid Accent 3"/>
    <w:basedOn w:val="TableNormal"/>
    <w:uiPriority w:val="62"/>
    <w:locked/>
    <w:rsid w:val="00F80750"/>
    <w:pPr>
      <w:spacing w:after="0" w:line="240" w:lineRule="auto"/>
    </w:pPr>
    <w:tblPr>
      <w:tblStyleRowBandSize w:val="1"/>
      <w:tblStyleColBandSize w:val="1"/>
      <w:tblBorders>
        <w:top w:val="single" w:sz="8" w:space="0" w:color="969696" w:themeColor="accent3"/>
        <w:left w:val="single" w:sz="8" w:space="0" w:color="969696" w:themeColor="accent3"/>
        <w:bottom w:val="single" w:sz="8" w:space="0" w:color="969696" w:themeColor="accent3"/>
        <w:right w:val="single" w:sz="8" w:space="0" w:color="969696" w:themeColor="accent3"/>
        <w:insideH w:val="single" w:sz="8" w:space="0" w:color="969696" w:themeColor="accent3"/>
        <w:insideV w:val="single" w:sz="8" w:space="0" w:color="969696"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69696" w:themeColor="accent3"/>
          <w:left w:val="single" w:sz="8" w:space="0" w:color="969696" w:themeColor="accent3"/>
          <w:bottom w:val="single" w:sz="18" w:space="0" w:color="969696" w:themeColor="accent3"/>
          <w:right w:val="single" w:sz="8" w:space="0" w:color="969696" w:themeColor="accent3"/>
          <w:insideH w:val="nil"/>
          <w:insideV w:val="single" w:sz="8" w:space="0" w:color="969696"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69696" w:themeColor="accent3"/>
          <w:left w:val="single" w:sz="8" w:space="0" w:color="969696" w:themeColor="accent3"/>
          <w:bottom w:val="single" w:sz="8" w:space="0" w:color="969696" w:themeColor="accent3"/>
          <w:right w:val="single" w:sz="8" w:space="0" w:color="969696" w:themeColor="accent3"/>
          <w:insideH w:val="nil"/>
          <w:insideV w:val="single" w:sz="8" w:space="0" w:color="969696"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69696" w:themeColor="accent3"/>
          <w:left w:val="single" w:sz="8" w:space="0" w:color="969696" w:themeColor="accent3"/>
          <w:bottom w:val="single" w:sz="8" w:space="0" w:color="969696" w:themeColor="accent3"/>
          <w:right w:val="single" w:sz="8" w:space="0" w:color="969696" w:themeColor="accent3"/>
        </w:tcBorders>
      </w:tcPr>
    </w:tblStylePr>
    <w:tblStylePr w:type="band1Vert">
      <w:tblPr/>
      <w:tcPr>
        <w:tcBorders>
          <w:top w:val="single" w:sz="8" w:space="0" w:color="969696" w:themeColor="accent3"/>
          <w:left w:val="single" w:sz="8" w:space="0" w:color="969696" w:themeColor="accent3"/>
          <w:bottom w:val="single" w:sz="8" w:space="0" w:color="969696" w:themeColor="accent3"/>
          <w:right w:val="single" w:sz="8" w:space="0" w:color="969696" w:themeColor="accent3"/>
        </w:tcBorders>
        <w:shd w:val="clear" w:color="auto" w:fill="E5E5E5" w:themeFill="accent3" w:themeFillTint="3F"/>
      </w:tcPr>
    </w:tblStylePr>
    <w:tblStylePr w:type="band1Horz">
      <w:tblPr/>
      <w:tcPr>
        <w:tcBorders>
          <w:top w:val="single" w:sz="8" w:space="0" w:color="969696" w:themeColor="accent3"/>
          <w:left w:val="single" w:sz="8" w:space="0" w:color="969696" w:themeColor="accent3"/>
          <w:bottom w:val="single" w:sz="8" w:space="0" w:color="969696" w:themeColor="accent3"/>
          <w:right w:val="single" w:sz="8" w:space="0" w:color="969696" w:themeColor="accent3"/>
          <w:insideV w:val="single" w:sz="8" w:space="0" w:color="969696" w:themeColor="accent3"/>
        </w:tcBorders>
        <w:shd w:val="clear" w:color="auto" w:fill="E5E5E5" w:themeFill="accent3" w:themeFillTint="3F"/>
      </w:tcPr>
    </w:tblStylePr>
    <w:tblStylePr w:type="band2Horz">
      <w:tblPr/>
      <w:tcPr>
        <w:tcBorders>
          <w:top w:val="single" w:sz="8" w:space="0" w:color="969696" w:themeColor="accent3"/>
          <w:left w:val="single" w:sz="8" w:space="0" w:color="969696" w:themeColor="accent3"/>
          <w:bottom w:val="single" w:sz="8" w:space="0" w:color="969696" w:themeColor="accent3"/>
          <w:right w:val="single" w:sz="8" w:space="0" w:color="969696" w:themeColor="accent3"/>
          <w:insideV w:val="single" w:sz="8" w:space="0" w:color="969696" w:themeColor="accent3"/>
        </w:tcBorders>
      </w:tcPr>
    </w:tblStylePr>
  </w:style>
  <w:style w:type="table" w:styleId="LightGrid-Accent4">
    <w:name w:val="Light Grid Accent 4"/>
    <w:basedOn w:val="TableNormal"/>
    <w:uiPriority w:val="62"/>
    <w:locked/>
    <w:rsid w:val="00F80750"/>
    <w:pPr>
      <w:spacing w:after="0" w:line="240" w:lineRule="auto"/>
    </w:pPr>
    <w:tblPr>
      <w:tblStyleRowBandSize w:val="1"/>
      <w:tblStyleColBandSize w:val="1"/>
      <w:tblBorders>
        <w:top w:val="single" w:sz="8" w:space="0" w:color="808080" w:themeColor="accent4"/>
        <w:left w:val="single" w:sz="8" w:space="0" w:color="808080" w:themeColor="accent4"/>
        <w:bottom w:val="single" w:sz="8" w:space="0" w:color="808080" w:themeColor="accent4"/>
        <w:right w:val="single" w:sz="8" w:space="0" w:color="808080" w:themeColor="accent4"/>
        <w:insideH w:val="single" w:sz="8" w:space="0" w:color="808080" w:themeColor="accent4"/>
        <w:insideV w:val="single" w:sz="8" w:space="0" w:color="80808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8080" w:themeColor="accent4"/>
          <w:left w:val="single" w:sz="8" w:space="0" w:color="808080" w:themeColor="accent4"/>
          <w:bottom w:val="single" w:sz="18" w:space="0" w:color="808080" w:themeColor="accent4"/>
          <w:right w:val="single" w:sz="8" w:space="0" w:color="808080" w:themeColor="accent4"/>
          <w:insideH w:val="nil"/>
          <w:insideV w:val="single" w:sz="8" w:space="0" w:color="80808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8080" w:themeColor="accent4"/>
          <w:left w:val="single" w:sz="8" w:space="0" w:color="808080" w:themeColor="accent4"/>
          <w:bottom w:val="single" w:sz="8" w:space="0" w:color="808080" w:themeColor="accent4"/>
          <w:right w:val="single" w:sz="8" w:space="0" w:color="808080" w:themeColor="accent4"/>
          <w:insideH w:val="nil"/>
          <w:insideV w:val="single" w:sz="8" w:space="0" w:color="80808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8080" w:themeColor="accent4"/>
          <w:left w:val="single" w:sz="8" w:space="0" w:color="808080" w:themeColor="accent4"/>
          <w:bottom w:val="single" w:sz="8" w:space="0" w:color="808080" w:themeColor="accent4"/>
          <w:right w:val="single" w:sz="8" w:space="0" w:color="808080" w:themeColor="accent4"/>
        </w:tcBorders>
      </w:tcPr>
    </w:tblStylePr>
    <w:tblStylePr w:type="band1Vert">
      <w:tblPr/>
      <w:tcPr>
        <w:tcBorders>
          <w:top w:val="single" w:sz="8" w:space="0" w:color="808080" w:themeColor="accent4"/>
          <w:left w:val="single" w:sz="8" w:space="0" w:color="808080" w:themeColor="accent4"/>
          <w:bottom w:val="single" w:sz="8" w:space="0" w:color="808080" w:themeColor="accent4"/>
          <w:right w:val="single" w:sz="8" w:space="0" w:color="808080" w:themeColor="accent4"/>
        </w:tcBorders>
        <w:shd w:val="clear" w:color="auto" w:fill="DFDFDF" w:themeFill="accent4" w:themeFillTint="3F"/>
      </w:tcPr>
    </w:tblStylePr>
    <w:tblStylePr w:type="band1Horz">
      <w:tblPr/>
      <w:tcPr>
        <w:tcBorders>
          <w:top w:val="single" w:sz="8" w:space="0" w:color="808080" w:themeColor="accent4"/>
          <w:left w:val="single" w:sz="8" w:space="0" w:color="808080" w:themeColor="accent4"/>
          <w:bottom w:val="single" w:sz="8" w:space="0" w:color="808080" w:themeColor="accent4"/>
          <w:right w:val="single" w:sz="8" w:space="0" w:color="808080" w:themeColor="accent4"/>
          <w:insideV w:val="single" w:sz="8" w:space="0" w:color="808080" w:themeColor="accent4"/>
        </w:tcBorders>
        <w:shd w:val="clear" w:color="auto" w:fill="DFDFDF" w:themeFill="accent4" w:themeFillTint="3F"/>
      </w:tcPr>
    </w:tblStylePr>
    <w:tblStylePr w:type="band2Horz">
      <w:tblPr/>
      <w:tcPr>
        <w:tcBorders>
          <w:top w:val="single" w:sz="8" w:space="0" w:color="808080" w:themeColor="accent4"/>
          <w:left w:val="single" w:sz="8" w:space="0" w:color="808080" w:themeColor="accent4"/>
          <w:bottom w:val="single" w:sz="8" w:space="0" w:color="808080" w:themeColor="accent4"/>
          <w:right w:val="single" w:sz="8" w:space="0" w:color="808080" w:themeColor="accent4"/>
          <w:insideV w:val="single" w:sz="8" w:space="0" w:color="808080" w:themeColor="accent4"/>
        </w:tcBorders>
      </w:tcPr>
    </w:tblStylePr>
  </w:style>
  <w:style w:type="table" w:styleId="LightGrid-Accent5">
    <w:name w:val="Light Grid Accent 5"/>
    <w:basedOn w:val="TableNormal"/>
    <w:uiPriority w:val="62"/>
    <w:locked/>
    <w:rsid w:val="00F80750"/>
    <w:pPr>
      <w:spacing w:after="0" w:line="240" w:lineRule="auto"/>
    </w:p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insideH w:val="single" w:sz="8" w:space="0" w:color="5F5F5F" w:themeColor="accent5"/>
        <w:insideV w:val="single" w:sz="8" w:space="0" w:color="5F5F5F"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F5F5F" w:themeColor="accent5"/>
          <w:left w:val="single" w:sz="8" w:space="0" w:color="5F5F5F" w:themeColor="accent5"/>
          <w:bottom w:val="single" w:sz="18" w:space="0" w:color="5F5F5F" w:themeColor="accent5"/>
          <w:right w:val="single" w:sz="8" w:space="0" w:color="5F5F5F" w:themeColor="accent5"/>
          <w:insideH w:val="nil"/>
          <w:insideV w:val="single" w:sz="8" w:space="0" w:color="5F5F5F"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F5F5F" w:themeColor="accent5"/>
          <w:left w:val="single" w:sz="8" w:space="0" w:color="5F5F5F" w:themeColor="accent5"/>
          <w:bottom w:val="single" w:sz="8" w:space="0" w:color="5F5F5F" w:themeColor="accent5"/>
          <w:right w:val="single" w:sz="8" w:space="0" w:color="5F5F5F" w:themeColor="accent5"/>
          <w:insideH w:val="nil"/>
          <w:insideV w:val="single" w:sz="8" w:space="0" w:color="5F5F5F"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tblStylePr w:type="band1Vert">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shd w:val="clear" w:color="auto" w:fill="D7D7D7" w:themeFill="accent5" w:themeFillTint="3F"/>
      </w:tcPr>
    </w:tblStylePr>
    <w:tblStylePr w:type="band1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insideV w:val="single" w:sz="8" w:space="0" w:color="5F5F5F" w:themeColor="accent5"/>
        </w:tcBorders>
        <w:shd w:val="clear" w:color="auto" w:fill="D7D7D7" w:themeFill="accent5" w:themeFillTint="3F"/>
      </w:tcPr>
    </w:tblStylePr>
    <w:tblStylePr w:type="band2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insideV w:val="single" w:sz="8" w:space="0" w:color="5F5F5F" w:themeColor="accent5"/>
        </w:tcBorders>
      </w:tcPr>
    </w:tblStylePr>
  </w:style>
  <w:style w:type="table" w:styleId="LightGrid-Accent6">
    <w:name w:val="Light Grid Accent 6"/>
    <w:basedOn w:val="TableNormal"/>
    <w:uiPriority w:val="62"/>
    <w:locked/>
    <w:rsid w:val="00F80750"/>
    <w:pPr>
      <w:spacing w:after="0" w:line="240" w:lineRule="auto"/>
    </w:p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insideH w:val="single" w:sz="8" w:space="0" w:color="4D4D4D" w:themeColor="accent6"/>
        <w:insideV w:val="single" w:sz="8" w:space="0" w:color="4D4D4D"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D4D4D" w:themeColor="accent6"/>
          <w:left w:val="single" w:sz="8" w:space="0" w:color="4D4D4D" w:themeColor="accent6"/>
          <w:bottom w:val="single" w:sz="18" w:space="0" w:color="4D4D4D" w:themeColor="accent6"/>
          <w:right w:val="single" w:sz="8" w:space="0" w:color="4D4D4D" w:themeColor="accent6"/>
          <w:insideH w:val="nil"/>
          <w:insideV w:val="single" w:sz="8" w:space="0" w:color="4D4D4D"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D4D4D" w:themeColor="accent6"/>
          <w:left w:val="single" w:sz="8" w:space="0" w:color="4D4D4D" w:themeColor="accent6"/>
          <w:bottom w:val="single" w:sz="8" w:space="0" w:color="4D4D4D" w:themeColor="accent6"/>
          <w:right w:val="single" w:sz="8" w:space="0" w:color="4D4D4D" w:themeColor="accent6"/>
          <w:insideH w:val="nil"/>
          <w:insideV w:val="single" w:sz="8" w:space="0" w:color="4D4D4D"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tblStylePr w:type="band1Vert">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shd w:val="clear" w:color="auto" w:fill="D3D3D3" w:themeFill="accent6" w:themeFillTint="3F"/>
      </w:tcPr>
    </w:tblStylePr>
    <w:tblStylePr w:type="band1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insideV w:val="single" w:sz="8" w:space="0" w:color="4D4D4D" w:themeColor="accent6"/>
        </w:tcBorders>
        <w:shd w:val="clear" w:color="auto" w:fill="D3D3D3" w:themeFill="accent6" w:themeFillTint="3F"/>
      </w:tcPr>
    </w:tblStylePr>
    <w:tblStylePr w:type="band2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insideV w:val="single" w:sz="8" w:space="0" w:color="4D4D4D" w:themeColor="accent6"/>
        </w:tcBorders>
      </w:tcPr>
    </w:tblStylePr>
  </w:style>
  <w:style w:type="table" w:styleId="LightList">
    <w:name w:val="Light List"/>
    <w:basedOn w:val="TableNormal"/>
    <w:uiPriority w:val="61"/>
    <w:locked/>
    <w:rsid w:val="00F80750"/>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locked/>
    <w:rsid w:val="00F80750"/>
    <w:pPr>
      <w:spacing w:after="0" w:line="240" w:lineRule="auto"/>
    </w:pPr>
    <w:tblPr>
      <w:tblStyleRowBandSize w:val="1"/>
      <w:tblStyleColBandSize w:val="1"/>
      <w:tblBorders>
        <w:top w:val="single" w:sz="8" w:space="0" w:color="DDDDDD" w:themeColor="accent1"/>
        <w:left w:val="single" w:sz="8" w:space="0" w:color="DDDDDD" w:themeColor="accent1"/>
        <w:bottom w:val="single" w:sz="8" w:space="0" w:color="DDDDDD" w:themeColor="accent1"/>
        <w:right w:val="single" w:sz="8" w:space="0" w:color="DDDDDD" w:themeColor="accent1"/>
      </w:tblBorders>
    </w:tblPr>
    <w:tblStylePr w:type="firstRow">
      <w:pPr>
        <w:spacing w:before="0" w:after="0" w:line="240" w:lineRule="auto"/>
      </w:pPr>
      <w:rPr>
        <w:b/>
        <w:bCs/>
        <w:color w:val="FFFFFF" w:themeColor="background1"/>
      </w:rPr>
      <w:tblPr/>
      <w:tcPr>
        <w:shd w:val="clear" w:color="auto" w:fill="DDDDDD" w:themeFill="accent1"/>
      </w:tcPr>
    </w:tblStylePr>
    <w:tblStylePr w:type="lastRow">
      <w:pPr>
        <w:spacing w:before="0" w:after="0" w:line="240" w:lineRule="auto"/>
      </w:pPr>
      <w:rPr>
        <w:b/>
        <w:bCs/>
      </w:rPr>
      <w:tblPr/>
      <w:tcPr>
        <w:tcBorders>
          <w:top w:val="double" w:sz="6" w:space="0" w:color="DDDDDD" w:themeColor="accent1"/>
          <w:left w:val="single" w:sz="8" w:space="0" w:color="DDDDDD" w:themeColor="accent1"/>
          <w:bottom w:val="single" w:sz="8" w:space="0" w:color="DDDDDD" w:themeColor="accent1"/>
          <w:right w:val="single" w:sz="8" w:space="0" w:color="DDDDDD" w:themeColor="accent1"/>
        </w:tcBorders>
      </w:tcPr>
    </w:tblStylePr>
    <w:tblStylePr w:type="firstCol">
      <w:rPr>
        <w:b/>
        <w:bCs/>
      </w:rPr>
    </w:tblStylePr>
    <w:tblStylePr w:type="lastCol">
      <w:rPr>
        <w:b/>
        <w:bCs/>
      </w:rPr>
    </w:tblStylePr>
    <w:tblStylePr w:type="band1Vert">
      <w:tblPr/>
      <w:tcPr>
        <w:tcBorders>
          <w:top w:val="single" w:sz="8" w:space="0" w:color="DDDDDD" w:themeColor="accent1"/>
          <w:left w:val="single" w:sz="8" w:space="0" w:color="DDDDDD" w:themeColor="accent1"/>
          <w:bottom w:val="single" w:sz="8" w:space="0" w:color="DDDDDD" w:themeColor="accent1"/>
          <w:right w:val="single" w:sz="8" w:space="0" w:color="DDDDDD" w:themeColor="accent1"/>
        </w:tcBorders>
      </w:tcPr>
    </w:tblStylePr>
    <w:tblStylePr w:type="band1Horz">
      <w:tblPr/>
      <w:tcPr>
        <w:tcBorders>
          <w:top w:val="single" w:sz="8" w:space="0" w:color="DDDDDD" w:themeColor="accent1"/>
          <w:left w:val="single" w:sz="8" w:space="0" w:color="DDDDDD" w:themeColor="accent1"/>
          <w:bottom w:val="single" w:sz="8" w:space="0" w:color="DDDDDD" w:themeColor="accent1"/>
          <w:right w:val="single" w:sz="8" w:space="0" w:color="DDDDDD" w:themeColor="accent1"/>
        </w:tcBorders>
      </w:tcPr>
    </w:tblStylePr>
  </w:style>
  <w:style w:type="table" w:styleId="LightList-Accent2">
    <w:name w:val="Light List Accent 2"/>
    <w:basedOn w:val="TableNormal"/>
    <w:uiPriority w:val="61"/>
    <w:locked/>
    <w:rsid w:val="00F80750"/>
    <w:pPr>
      <w:spacing w:after="0" w:line="240" w:lineRule="auto"/>
    </w:pPr>
    <w:tblPr>
      <w:tblStyleRowBandSize w:val="1"/>
      <w:tblStyleColBandSize w:val="1"/>
      <w:tblBorders>
        <w:top w:val="single" w:sz="8" w:space="0" w:color="B2B2B2" w:themeColor="accent2"/>
        <w:left w:val="single" w:sz="8" w:space="0" w:color="B2B2B2" w:themeColor="accent2"/>
        <w:bottom w:val="single" w:sz="8" w:space="0" w:color="B2B2B2" w:themeColor="accent2"/>
        <w:right w:val="single" w:sz="8" w:space="0" w:color="B2B2B2" w:themeColor="accent2"/>
      </w:tblBorders>
    </w:tblPr>
    <w:tblStylePr w:type="firstRow">
      <w:pPr>
        <w:spacing w:before="0" w:after="0" w:line="240" w:lineRule="auto"/>
      </w:pPr>
      <w:rPr>
        <w:b/>
        <w:bCs/>
        <w:color w:val="FFFFFF" w:themeColor="background1"/>
      </w:rPr>
      <w:tblPr/>
      <w:tcPr>
        <w:shd w:val="clear" w:color="auto" w:fill="B2B2B2" w:themeFill="accent2"/>
      </w:tcPr>
    </w:tblStylePr>
    <w:tblStylePr w:type="lastRow">
      <w:pPr>
        <w:spacing w:before="0" w:after="0" w:line="240" w:lineRule="auto"/>
      </w:pPr>
      <w:rPr>
        <w:b/>
        <w:bCs/>
      </w:rPr>
      <w:tblPr/>
      <w:tcPr>
        <w:tcBorders>
          <w:top w:val="double" w:sz="6" w:space="0" w:color="B2B2B2" w:themeColor="accent2"/>
          <w:left w:val="single" w:sz="8" w:space="0" w:color="B2B2B2" w:themeColor="accent2"/>
          <w:bottom w:val="single" w:sz="8" w:space="0" w:color="B2B2B2" w:themeColor="accent2"/>
          <w:right w:val="single" w:sz="8" w:space="0" w:color="B2B2B2" w:themeColor="accent2"/>
        </w:tcBorders>
      </w:tcPr>
    </w:tblStylePr>
    <w:tblStylePr w:type="firstCol">
      <w:rPr>
        <w:b/>
        <w:bCs/>
      </w:rPr>
    </w:tblStylePr>
    <w:tblStylePr w:type="lastCol">
      <w:rPr>
        <w:b/>
        <w:bCs/>
      </w:rPr>
    </w:tblStylePr>
    <w:tblStylePr w:type="band1Vert">
      <w:tblPr/>
      <w:tcPr>
        <w:tcBorders>
          <w:top w:val="single" w:sz="8" w:space="0" w:color="B2B2B2" w:themeColor="accent2"/>
          <w:left w:val="single" w:sz="8" w:space="0" w:color="B2B2B2" w:themeColor="accent2"/>
          <w:bottom w:val="single" w:sz="8" w:space="0" w:color="B2B2B2" w:themeColor="accent2"/>
          <w:right w:val="single" w:sz="8" w:space="0" w:color="B2B2B2" w:themeColor="accent2"/>
        </w:tcBorders>
      </w:tcPr>
    </w:tblStylePr>
    <w:tblStylePr w:type="band1Horz">
      <w:tblPr/>
      <w:tcPr>
        <w:tcBorders>
          <w:top w:val="single" w:sz="8" w:space="0" w:color="B2B2B2" w:themeColor="accent2"/>
          <w:left w:val="single" w:sz="8" w:space="0" w:color="B2B2B2" w:themeColor="accent2"/>
          <w:bottom w:val="single" w:sz="8" w:space="0" w:color="B2B2B2" w:themeColor="accent2"/>
          <w:right w:val="single" w:sz="8" w:space="0" w:color="B2B2B2" w:themeColor="accent2"/>
        </w:tcBorders>
      </w:tcPr>
    </w:tblStylePr>
  </w:style>
  <w:style w:type="table" w:styleId="LightList-Accent3">
    <w:name w:val="Light List Accent 3"/>
    <w:basedOn w:val="TableNormal"/>
    <w:uiPriority w:val="61"/>
    <w:locked/>
    <w:rsid w:val="00F80750"/>
    <w:pPr>
      <w:spacing w:after="0" w:line="240" w:lineRule="auto"/>
    </w:pPr>
    <w:tblPr>
      <w:tblStyleRowBandSize w:val="1"/>
      <w:tblStyleColBandSize w:val="1"/>
      <w:tblBorders>
        <w:top w:val="single" w:sz="8" w:space="0" w:color="969696" w:themeColor="accent3"/>
        <w:left w:val="single" w:sz="8" w:space="0" w:color="969696" w:themeColor="accent3"/>
        <w:bottom w:val="single" w:sz="8" w:space="0" w:color="969696" w:themeColor="accent3"/>
        <w:right w:val="single" w:sz="8" w:space="0" w:color="969696" w:themeColor="accent3"/>
      </w:tblBorders>
    </w:tblPr>
    <w:tblStylePr w:type="firstRow">
      <w:pPr>
        <w:spacing w:before="0" w:after="0" w:line="240" w:lineRule="auto"/>
      </w:pPr>
      <w:rPr>
        <w:b/>
        <w:bCs/>
        <w:color w:val="FFFFFF" w:themeColor="background1"/>
      </w:rPr>
      <w:tblPr/>
      <w:tcPr>
        <w:shd w:val="clear" w:color="auto" w:fill="969696" w:themeFill="accent3"/>
      </w:tcPr>
    </w:tblStylePr>
    <w:tblStylePr w:type="lastRow">
      <w:pPr>
        <w:spacing w:before="0" w:after="0" w:line="240" w:lineRule="auto"/>
      </w:pPr>
      <w:rPr>
        <w:b/>
        <w:bCs/>
      </w:rPr>
      <w:tblPr/>
      <w:tcPr>
        <w:tcBorders>
          <w:top w:val="double" w:sz="6" w:space="0" w:color="969696" w:themeColor="accent3"/>
          <w:left w:val="single" w:sz="8" w:space="0" w:color="969696" w:themeColor="accent3"/>
          <w:bottom w:val="single" w:sz="8" w:space="0" w:color="969696" w:themeColor="accent3"/>
          <w:right w:val="single" w:sz="8" w:space="0" w:color="969696" w:themeColor="accent3"/>
        </w:tcBorders>
      </w:tcPr>
    </w:tblStylePr>
    <w:tblStylePr w:type="firstCol">
      <w:rPr>
        <w:b/>
        <w:bCs/>
      </w:rPr>
    </w:tblStylePr>
    <w:tblStylePr w:type="lastCol">
      <w:rPr>
        <w:b/>
        <w:bCs/>
      </w:rPr>
    </w:tblStylePr>
    <w:tblStylePr w:type="band1Vert">
      <w:tblPr/>
      <w:tcPr>
        <w:tcBorders>
          <w:top w:val="single" w:sz="8" w:space="0" w:color="969696" w:themeColor="accent3"/>
          <w:left w:val="single" w:sz="8" w:space="0" w:color="969696" w:themeColor="accent3"/>
          <w:bottom w:val="single" w:sz="8" w:space="0" w:color="969696" w:themeColor="accent3"/>
          <w:right w:val="single" w:sz="8" w:space="0" w:color="969696" w:themeColor="accent3"/>
        </w:tcBorders>
      </w:tcPr>
    </w:tblStylePr>
    <w:tblStylePr w:type="band1Horz">
      <w:tblPr/>
      <w:tcPr>
        <w:tcBorders>
          <w:top w:val="single" w:sz="8" w:space="0" w:color="969696" w:themeColor="accent3"/>
          <w:left w:val="single" w:sz="8" w:space="0" w:color="969696" w:themeColor="accent3"/>
          <w:bottom w:val="single" w:sz="8" w:space="0" w:color="969696" w:themeColor="accent3"/>
          <w:right w:val="single" w:sz="8" w:space="0" w:color="969696" w:themeColor="accent3"/>
        </w:tcBorders>
      </w:tcPr>
    </w:tblStylePr>
  </w:style>
  <w:style w:type="table" w:styleId="LightList-Accent4">
    <w:name w:val="Light List Accent 4"/>
    <w:basedOn w:val="TableNormal"/>
    <w:uiPriority w:val="61"/>
    <w:locked/>
    <w:rsid w:val="00F80750"/>
    <w:pPr>
      <w:spacing w:after="0" w:line="240" w:lineRule="auto"/>
    </w:pPr>
    <w:tblPr>
      <w:tblStyleRowBandSize w:val="1"/>
      <w:tblStyleColBandSize w:val="1"/>
      <w:tblBorders>
        <w:top w:val="single" w:sz="8" w:space="0" w:color="808080" w:themeColor="accent4"/>
        <w:left w:val="single" w:sz="8" w:space="0" w:color="808080" w:themeColor="accent4"/>
        <w:bottom w:val="single" w:sz="8" w:space="0" w:color="808080" w:themeColor="accent4"/>
        <w:right w:val="single" w:sz="8" w:space="0" w:color="808080" w:themeColor="accent4"/>
      </w:tblBorders>
    </w:tblPr>
    <w:tblStylePr w:type="firstRow">
      <w:pPr>
        <w:spacing w:before="0" w:after="0" w:line="240" w:lineRule="auto"/>
      </w:pPr>
      <w:rPr>
        <w:b/>
        <w:bCs/>
        <w:color w:val="FFFFFF" w:themeColor="background1"/>
      </w:rPr>
      <w:tblPr/>
      <w:tcPr>
        <w:shd w:val="clear" w:color="auto" w:fill="808080" w:themeFill="accent4"/>
      </w:tcPr>
    </w:tblStylePr>
    <w:tblStylePr w:type="lastRow">
      <w:pPr>
        <w:spacing w:before="0" w:after="0" w:line="240" w:lineRule="auto"/>
      </w:pPr>
      <w:rPr>
        <w:b/>
        <w:bCs/>
      </w:rPr>
      <w:tblPr/>
      <w:tcPr>
        <w:tcBorders>
          <w:top w:val="double" w:sz="6" w:space="0" w:color="808080" w:themeColor="accent4"/>
          <w:left w:val="single" w:sz="8" w:space="0" w:color="808080" w:themeColor="accent4"/>
          <w:bottom w:val="single" w:sz="8" w:space="0" w:color="808080" w:themeColor="accent4"/>
          <w:right w:val="single" w:sz="8" w:space="0" w:color="808080" w:themeColor="accent4"/>
        </w:tcBorders>
      </w:tcPr>
    </w:tblStylePr>
    <w:tblStylePr w:type="firstCol">
      <w:rPr>
        <w:b/>
        <w:bCs/>
      </w:rPr>
    </w:tblStylePr>
    <w:tblStylePr w:type="lastCol">
      <w:rPr>
        <w:b/>
        <w:bCs/>
      </w:rPr>
    </w:tblStylePr>
    <w:tblStylePr w:type="band1Vert">
      <w:tblPr/>
      <w:tcPr>
        <w:tcBorders>
          <w:top w:val="single" w:sz="8" w:space="0" w:color="808080" w:themeColor="accent4"/>
          <w:left w:val="single" w:sz="8" w:space="0" w:color="808080" w:themeColor="accent4"/>
          <w:bottom w:val="single" w:sz="8" w:space="0" w:color="808080" w:themeColor="accent4"/>
          <w:right w:val="single" w:sz="8" w:space="0" w:color="808080" w:themeColor="accent4"/>
        </w:tcBorders>
      </w:tcPr>
    </w:tblStylePr>
    <w:tblStylePr w:type="band1Horz">
      <w:tblPr/>
      <w:tcPr>
        <w:tcBorders>
          <w:top w:val="single" w:sz="8" w:space="0" w:color="808080" w:themeColor="accent4"/>
          <w:left w:val="single" w:sz="8" w:space="0" w:color="808080" w:themeColor="accent4"/>
          <w:bottom w:val="single" w:sz="8" w:space="0" w:color="808080" w:themeColor="accent4"/>
          <w:right w:val="single" w:sz="8" w:space="0" w:color="808080" w:themeColor="accent4"/>
        </w:tcBorders>
      </w:tcPr>
    </w:tblStylePr>
  </w:style>
  <w:style w:type="table" w:styleId="LightList-Accent5">
    <w:name w:val="Light List Accent 5"/>
    <w:basedOn w:val="TableNormal"/>
    <w:uiPriority w:val="61"/>
    <w:locked/>
    <w:rsid w:val="00F80750"/>
    <w:pPr>
      <w:spacing w:after="0" w:line="240" w:lineRule="auto"/>
    </w:p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tblBorders>
    </w:tblPr>
    <w:tblStylePr w:type="firstRow">
      <w:pPr>
        <w:spacing w:before="0" w:after="0" w:line="240" w:lineRule="auto"/>
      </w:pPr>
      <w:rPr>
        <w:b/>
        <w:bCs/>
        <w:color w:val="FFFFFF" w:themeColor="background1"/>
      </w:rPr>
      <w:tblPr/>
      <w:tcPr>
        <w:shd w:val="clear" w:color="auto" w:fill="5F5F5F" w:themeFill="accent5"/>
      </w:tcPr>
    </w:tblStylePr>
    <w:tblStylePr w:type="lastRow">
      <w:pPr>
        <w:spacing w:before="0" w:after="0" w:line="240" w:lineRule="auto"/>
      </w:pPr>
      <w:rPr>
        <w:b/>
        <w:bCs/>
      </w:rPr>
      <w:tblPr/>
      <w:tcPr>
        <w:tcBorders>
          <w:top w:val="double" w:sz="6" w:space="0" w:color="5F5F5F" w:themeColor="accent5"/>
          <w:left w:val="single" w:sz="8" w:space="0" w:color="5F5F5F" w:themeColor="accent5"/>
          <w:bottom w:val="single" w:sz="8" w:space="0" w:color="5F5F5F" w:themeColor="accent5"/>
          <w:right w:val="single" w:sz="8" w:space="0" w:color="5F5F5F" w:themeColor="accent5"/>
        </w:tcBorders>
      </w:tcPr>
    </w:tblStylePr>
    <w:tblStylePr w:type="firstCol">
      <w:rPr>
        <w:b/>
        <w:bCs/>
      </w:rPr>
    </w:tblStylePr>
    <w:tblStylePr w:type="lastCol">
      <w:rPr>
        <w:b/>
        <w:bCs/>
      </w:rPr>
    </w:tblStylePr>
    <w:tblStylePr w:type="band1Vert">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tblStylePr w:type="band1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style>
  <w:style w:type="table" w:styleId="LightList-Accent6">
    <w:name w:val="Light List Accent 6"/>
    <w:basedOn w:val="TableNormal"/>
    <w:uiPriority w:val="61"/>
    <w:locked/>
    <w:rsid w:val="00F80750"/>
    <w:pPr>
      <w:spacing w:after="0" w:line="240" w:lineRule="auto"/>
    </w:p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tblBorders>
    </w:tblPr>
    <w:tblStylePr w:type="firstRow">
      <w:pPr>
        <w:spacing w:before="0" w:after="0" w:line="240" w:lineRule="auto"/>
      </w:pPr>
      <w:rPr>
        <w:b/>
        <w:bCs/>
        <w:color w:val="FFFFFF" w:themeColor="background1"/>
      </w:rPr>
      <w:tblPr/>
      <w:tcPr>
        <w:shd w:val="clear" w:color="auto" w:fill="4D4D4D" w:themeFill="accent6"/>
      </w:tcPr>
    </w:tblStylePr>
    <w:tblStylePr w:type="lastRow">
      <w:pPr>
        <w:spacing w:before="0" w:after="0" w:line="240" w:lineRule="auto"/>
      </w:pPr>
      <w:rPr>
        <w:b/>
        <w:bCs/>
      </w:rPr>
      <w:tblPr/>
      <w:tcPr>
        <w:tcBorders>
          <w:top w:val="double" w:sz="6" w:space="0" w:color="4D4D4D" w:themeColor="accent6"/>
          <w:left w:val="single" w:sz="8" w:space="0" w:color="4D4D4D" w:themeColor="accent6"/>
          <w:bottom w:val="single" w:sz="8" w:space="0" w:color="4D4D4D" w:themeColor="accent6"/>
          <w:right w:val="single" w:sz="8" w:space="0" w:color="4D4D4D" w:themeColor="accent6"/>
        </w:tcBorders>
      </w:tcPr>
    </w:tblStylePr>
    <w:tblStylePr w:type="firstCol">
      <w:rPr>
        <w:b/>
        <w:bCs/>
      </w:rPr>
    </w:tblStylePr>
    <w:tblStylePr w:type="lastCol">
      <w:rPr>
        <w:b/>
        <w:bCs/>
      </w:rPr>
    </w:tblStylePr>
    <w:tblStylePr w:type="band1Vert">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tblStylePr w:type="band1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style>
  <w:style w:type="table" w:styleId="LightShading">
    <w:name w:val="Light Shading"/>
    <w:basedOn w:val="TableNormal"/>
    <w:uiPriority w:val="60"/>
    <w:locked/>
    <w:rsid w:val="00E418DC"/>
    <w:pPr>
      <w:spacing w:before="57" w:line="240" w:lineRule="auto"/>
      <w:ind w:left="108" w:right="108"/>
      <w:jc w:val="right"/>
    </w:pPr>
    <w:rPr>
      <w:color w:val="000000" w:themeColor="text1" w:themeShade="BF"/>
      <w:sz w:val="17"/>
    </w:rPr>
    <w:tblPr>
      <w:tblStyleRowBandSize w:val="1"/>
      <w:tblStyleColBandSize w:val="1"/>
      <w:tblBorders>
        <w:top w:val="single" w:sz="8" w:space="0" w:color="000000" w:themeColor="text1"/>
        <w:bottom w:val="single" w:sz="8" w:space="0" w:color="000000" w:themeColor="text1"/>
      </w:tblBorders>
      <w:tblCellMar>
        <w:left w:w="0" w:type="dxa"/>
        <w:right w:w="0" w:type="dxa"/>
      </w:tblCellMar>
    </w:tblPr>
    <w:tblStylePr w:type="firstRow">
      <w:pPr>
        <w:wordWrap/>
        <w:spacing w:beforeLines="0" w:before="57" w:beforeAutospacing="0" w:after="0" w:afterAutospacing="0" w:line="240" w:lineRule="auto"/>
        <w:jc w:val="left"/>
      </w:pPr>
      <w:rPr>
        <w:rFonts w:asciiTheme="majorHAnsi" w:hAnsiTheme="majorHAnsi"/>
        <w:b/>
        <w:bCs/>
        <w:color w:val="FFFFFF" w:themeColor="background1"/>
        <w:sz w:val="20"/>
      </w:rPr>
      <w:tblPr/>
      <w:trPr>
        <w:tblHeader/>
      </w:trPr>
      <w:tcPr>
        <w:shd w:val="clear" w:color="auto" w:fill="5F5F5F" w:themeFill="accent5"/>
      </w:tcPr>
    </w:tblStylePr>
    <w:tblStylePr w:type="lastRow">
      <w:pPr>
        <w:wordWrap/>
        <w:spacing w:beforeLines="0" w:before="57" w:beforeAutospacing="0" w:afterLines="0" w:after="114" w:afterAutospacing="0" w:line="240" w:lineRule="auto"/>
      </w:pPr>
      <w:rPr>
        <w:b/>
        <w:bCs/>
      </w:rPr>
      <w:tblPr/>
      <w:tcPr>
        <w:shd w:val="clear" w:color="auto" w:fill="DDDDDD" w:themeFill="accent1"/>
      </w:tcPr>
    </w:tblStylePr>
    <w:tblStylePr w:type="firstCol">
      <w:pPr>
        <w:jc w:val="left"/>
      </w:pPr>
      <w:rPr>
        <w:b/>
        <w:bCs/>
      </w:rPr>
      <w:tblPr/>
      <w:tcPr>
        <w:shd w:val="clear" w:color="auto" w:fill="DDDDDD" w:themeFill="accent1"/>
      </w:tcPr>
    </w:tblStylePr>
    <w:tblStylePr w:type="lastCol">
      <w:rPr>
        <w:b/>
        <w:bCs/>
      </w:rPr>
    </w:tblStylePr>
    <w:tblStylePr w:type="band1Vert">
      <w:tblPr/>
      <w:tcPr>
        <w:shd w:val="clear" w:color="auto" w:fill="DDDDDD" w:themeFill="accent1"/>
      </w:tcPr>
    </w:tblStylePr>
    <w:tblStylePr w:type="band2Vert">
      <w:tblPr/>
      <w:tcPr>
        <w:shd w:val="clear" w:color="auto" w:fill="DDDDDD" w:themeFill="accent1"/>
      </w:tcPr>
    </w:tblStylePr>
    <w:tblStylePr w:type="band1Horz">
      <w:tblPr/>
      <w:tcPr>
        <w:shd w:val="clear" w:color="auto" w:fill="DDDDDD" w:themeFill="accent1"/>
      </w:tcPr>
    </w:tblStylePr>
    <w:tblStylePr w:type="band2Horz">
      <w:tblPr/>
      <w:tcPr>
        <w:shd w:val="clear" w:color="auto" w:fill="DDDDDD" w:themeFill="accent1"/>
      </w:tcPr>
    </w:tblStylePr>
  </w:style>
  <w:style w:type="table" w:styleId="LightShading-Accent1">
    <w:name w:val="Light Shading Accent 1"/>
    <w:basedOn w:val="TableNormal"/>
    <w:uiPriority w:val="60"/>
    <w:locked/>
    <w:rsid w:val="00F80750"/>
    <w:pPr>
      <w:spacing w:after="0" w:line="240" w:lineRule="auto"/>
    </w:pPr>
    <w:rPr>
      <w:color w:val="A5A5A5" w:themeColor="accent1" w:themeShade="BF"/>
    </w:rPr>
    <w:tblPr>
      <w:tblStyleRowBandSize w:val="1"/>
      <w:tblStyleColBandSize w:val="1"/>
      <w:tblBorders>
        <w:top w:val="single" w:sz="8" w:space="0" w:color="DDDDDD" w:themeColor="accent1"/>
        <w:bottom w:val="single" w:sz="8" w:space="0" w:color="DDDDDD" w:themeColor="accent1"/>
      </w:tblBorders>
    </w:tblPr>
    <w:tblStylePr w:type="firstRow">
      <w:pPr>
        <w:spacing w:before="0" w:after="0" w:line="240" w:lineRule="auto"/>
      </w:pPr>
      <w:rPr>
        <w:b/>
        <w:bCs/>
      </w:rPr>
      <w:tblPr/>
      <w:tcPr>
        <w:tcBorders>
          <w:top w:val="single" w:sz="8" w:space="0" w:color="DDDDDD" w:themeColor="accent1"/>
          <w:left w:val="nil"/>
          <w:bottom w:val="single" w:sz="8" w:space="0" w:color="DDDDDD" w:themeColor="accent1"/>
          <w:right w:val="nil"/>
          <w:insideH w:val="nil"/>
          <w:insideV w:val="nil"/>
        </w:tcBorders>
      </w:tcPr>
    </w:tblStylePr>
    <w:tblStylePr w:type="lastRow">
      <w:pPr>
        <w:spacing w:before="0" w:after="0" w:line="240" w:lineRule="auto"/>
      </w:pPr>
      <w:rPr>
        <w:b/>
        <w:bCs/>
      </w:rPr>
      <w:tblPr/>
      <w:tcPr>
        <w:tcBorders>
          <w:top w:val="single" w:sz="8" w:space="0" w:color="DDDDDD" w:themeColor="accent1"/>
          <w:left w:val="nil"/>
          <w:bottom w:val="single" w:sz="8" w:space="0" w:color="DDDDD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6F6F6" w:themeFill="accent1" w:themeFillTint="3F"/>
      </w:tcPr>
    </w:tblStylePr>
    <w:tblStylePr w:type="band1Horz">
      <w:tblPr/>
      <w:tcPr>
        <w:tcBorders>
          <w:left w:val="nil"/>
          <w:right w:val="nil"/>
          <w:insideH w:val="nil"/>
          <w:insideV w:val="nil"/>
        </w:tcBorders>
        <w:shd w:val="clear" w:color="auto" w:fill="F6F6F6" w:themeFill="accent1" w:themeFillTint="3F"/>
      </w:tcPr>
    </w:tblStylePr>
  </w:style>
  <w:style w:type="table" w:styleId="LightShading-Accent2">
    <w:name w:val="Light Shading Accent 2"/>
    <w:basedOn w:val="TableNormal"/>
    <w:uiPriority w:val="60"/>
    <w:locked/>
    <w:rsid w:val="00F80750"/>
    <w:pPr>
      <w:spacing w:after="0" w:line="240" w:lineRule="auto"/>
    </w:pPr>
    <w:rPr>
      <w:color w:val="858585" w:themeColor="accent2" w:themeShade="BF"/>
    </w:rPr>
    <w:tblPr>
      <w:tblStyleRowBandSize w:val="1"/>
      <w:tblStyleColBandSize w:val="1"/>
      <w:tblBorders>
        <w:top w:val="single" w:sz="8" w:space="0" w:color="B2B2B2" w:themeColor="accent2"/>
        <w:bottom w:val="single" w:sz="8" w:space="0" w:color="B2B2B2" w:themeColor="accent2"/>
      </w:tblBorders>
    </w:tblPr>
    <w:tblStylePr w:type="firstRow">
      <w:pPr>
        <w:spacing w:before="0" w:after="0" w:line="240" w:lineRule="auto"/>
      </w:pPr>
      <w:rPr>
        <w:b/>
        <w:bCs/>
      </w:rPr>
      <w:tblPr/>
      <w:tcPr>
        <w:tcBorders>
          <w:top w:val="single" w:sz="8" w:space="0" w:color="B2B2B2" w:themeColor="accent2"/>
          <w:left w:val="nil"/>
          <w:bottom w:val="single" w:sz="8" w:space="0" w:color="B2B2B2" w:themeColor="accent2"/>
          <w:right w:val="nil"/>
          <w:insideH w:val="nil"/>
          <w:insideV w:val="nil"/>
        </w:tcBorders>
      </w:tcPr>
    </w:tblStylePr>
    <w:tblStylePr w:type="lastRow">
      <w:pPr>
        <w:spacing w:before="0" w:after="0" w:line="240" w:lineRule="auto"/>
      </w:pPr>
      <w:rPr>
        <w:b/>
        <w:bCs/>
      </w:rPr>
      <w:tblPr/>
      <w:tcPr>
        <w:tcBorders>
          <w:top w:val="single" w:sz="8" w:space="0" w:color="B2B2B2" w:themeColor="accent2"/>
          <w:left w:val="nil"/>
          <w:bottom w:val="single" w:sz="8" w:space="0" w:color="B2B2B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EBEB" w:themeFill="accent2" w:themeFillTint="3F"/>
      </w:tcPr>
    </w:tblStylePr>
    <w:tblStylePr w:type="band1Horz">
      <w:tblPr/>
      <w:tcPr>
        <w:tcBorders>
          <w:left w:val="nil"/>
          <w:right w:val="nil"/>
          <w:insideH w:val="nil"/>
          <w:insideV w:val="nil"/>
        </w:tcBorders>
        <w:shd w:val="clear" w:color="auto" w:fill="EBEBEB" w:themeFill="accent2" w:themeFillTint="3F"/>
      </w:tcPr>
    </w:tblStylePr>
  </w:style>
  <w:style w:type="table" w:styleId="LightShading-Accent3">
    <w:name w:val="Light Shading Accent 3"/>
    <w:basedOn w:val="TableNormal"/>
    <w:uiPriority w:val="60"/>
    <w:locked/>
    <w:rsid w:val="00F80750"/>
    <w:pPr>
      <w:spacing w:after="0" w:line="240" w:lineRule="auto"/>
    </w:pPr>
    <w:rPr>
      <w:color w:val="707070" w:themeColor="accent3" w:themeShade="BF"/>
    </w:rPr>
    <w:tblPr>
      <w:tblStyleRowBandSize w:val="1"/>
      <w:tblStyleColBandSize w:val="1"/>
      <w:tblBorders>
        <w:top w:val="single" w:sz="8" w:space="0" w:color="969696" w:themeColor="accent3"/>
        <w:bottom w:val="single" w:sz="8" w:space="0" w:color="969696" w:themeColor="accent3"/>
      </w:tblBorders>
    </w:tblPr>
    <w:tblStylePr w:type="firstRow">
      <w:pPr>
        <w:spacing w:before="0" w:after="0" w:line="240" w:lineRule="auto"/>
      </w:pPr>
      <w:rPr>
        <w:b/>
        <w:bCs/>
      </w:rPr>
      <w:tblPr/>
      <w:tcPr>
        <w:tcBorders>
          <w:top w:val="single" w:sz="8" w:space="0" w:color="969696" w:themeColor="accent3"/>
          <w:left w:val="nil"/>
          <w:bottom w:val="single" w:sz="8" w:space="0" w:color="969696" w:themeColor="accent3"/>
          <w:right w:val="nil"/>
          <w:insideH w:val="nil"/>
          <w:insideV w:val="nil"/>
        </w:tcBorders>
      </w:tcPr>
    </w:tblStylePr>
    <w:tblStylePr w:type="lastRow">
      <w:pPr>
        <w:spacing w:before="0" w:after="0" w:line="240" w:lineRule="auto"/>
      </w:pPr>
      <w:rPr>
        <w:b/>
        <w:bCs/>
      </w:rPr>
      <w:tblPr/>
      <w:tcPr>
        <w:tcBorders>
          <w:top w:val="single" w:sz="8" w:space="0" w:color="969696" w:themeColor="accent3"/>
          <w:left w:val="nil"/>
          <w:bottom w:val="single" w:sz="8" w:space="0" w:color="969696"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5E5E5" w:themeFill="accent3" w:themeFillTint="3F"/>
      </w:tcPr>
    </w:tblStylePr>
    <w:tblStylePr w:type="band1Horz">
      <w:tblPr/>
      <w:tcPr>
        <w:tcBorders>
          <w:left w:val="nil"/>
          <w:right w:val="nil"/>
          <w:insideH w:val="nil"/>
          <w:insideV w:val="nil"/>
        </w:tcBorders>
        <w:shd w:val="clear" w:color="auto" w:fill="E5E5E5" w:themeFill="accent3" w:themeFillTint="3F"/>
      </w:tcPr>
    </w:tblStylePr>
  </w:style>
  <w:style w:type="table" w:styleId="LightShading-Accent4">
    <w:name w:val="Light Shading Accent 4"/>
    <w:basedOn w:val="TableNormal"/>
    <w:uiPriority w:val="60"/>
    <w:locked/>
    <w:rsid w:val="00F80750"/>
    <w:pPr>
      <w:spacing w:after="0" w:line="240" w:lineRule="auto"/>
    </w:pPr>
    <w:rPr>
      <w:color w:val="5F5F5F" w:themeColor="accent4" w:themeShade="BF"/>
    </w:rPr>
    <w:tblPr>
      <w:tblStyleRowBandSize w:val="1"/>
      <w:tblStyleColBandSize w:val="1"/>
      <w:tblBorders>
        <w:top w:val="single" w:sz="8" w:space="0" w:color="808080" w:themeColor="accent4"/>
        <w:bottom w:val="single" w:sz="8" w:space="0" w:color="808080" w:themeColor="accent4"/>
      </w:tblBorders>
    </w:tblPr>
    <w:tblStylePr w:type="firstRow">
      <w:pPr>
        <w:spacing w:before="0" w:after="0" w:line="240" w:lineRule="auto"/>
      </w:pPr>
      <w:rPr>
        <w:b/>
        <w:bCs/>
      </w:rPr>
      <w:tblPr/>
      <w:tcPr>
        <w:tcBorders>
          <w:top w:val="single" w:sz="8" w:space="0" w:color="808080" w:themeColor="accent4"/>
          <w:left w:val="nil"/>
          <w:bottom w:val="single" w:sz="8" w:space="0" w:color="808080" w:themeColor="accent4"/>
          <w:right w:val="nil"/>
          <w:insideH w:val="nil"/>
          <w:insideV w:val="nil"/>
        </w:tcBorders>
      </w:tcPr>
    </w:tblStylePr>
    <w:tblStylePr w:type="lastRow">
      <w:pPr>
        <w:spacing w:before="0" w:after="0" w:line="240" w:lineRule="auto"/>
      </w:pPr>
      <w:rPr>
        <w:b/>
        <w:bCs/>
      </w:rPr>
      <w:tblPr/>
      <w:tcPr>
        <w:tcBorders>
          <w:top w:val="single" w:sz="8" w:space="0" w:color="808080" w:themeColor="accent4"/>
          <w:left w:val="nil"/>
          <w:bottom w:val="single" w:sz="8" w:space="0" w:color="80808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FDF" w:themeFill="accent4" w:themeFillTint="3F"/>
      </w:tcPr>
    </w:tblStylePr>
    <w:tblStylePr w:type="band1Horz">
      <w:tblPr/>
      <w:tcPr>
        <w:tcBorders>
          <w:left w:val="nil"/>
          <w:right w:val="nil"/>
          <w:insideH w:val="nil"/>
          <w:insideV w:val="nil"/>
        </w:tcBorders>
        <w:shd w:val="clear" w:color="auto" w:fill="DFDFDF" w:themeFill="accent4" w:themeFillTint="3F"/>
      </w:tcPr>
    </w:tblStylePr>
  </w:style>
  <w:style w:type="table" w:styleId="LightShading-Accent5">
    <w:name w:val="Light Shading Accent 5"/>
    <w:basedOn w:val="TableNormal"/>
    <w:uiPriority w:val="60"/>
    <w:locked/>
    <w:rsid w:val="00F80750"/>
    <w:pPr>
      <w:spacing w:after="0" w:line="240" w:lineRule="auto"/>
    </w:pPr>
    <w:rPr>
      <w:color w:val="474747" w:themeColor="accent5" w:themeShade="BF"/>
    </w:rPr>
    <w:tblPr>
      <w:tblStyleRowBandSize w:val="1"/>
      <w:tblStyleColBandSize w:val="1"/>
      <w:tblBorders>
        <w:top w:val="single" w:sz="8" w:space="0" w:color="5F5F5F" w:themeColor="accent5"/>
        <w:bottom w:val="single" w:sz="8" w:space="0" w:color="5F5F5F" w:themeColor="accent5"/>
      </w:tblBorders>
    </w:tblPr>
    <w:tblStylePr w:type="firstRow">
      <w:pPr>
        <w:spacing w:before="0" w:after="0" w:line="240" w:lineRule="auto"/>
      </w:pPr>
      <w:rPr>
        <w:b/>
        <w:bCs/>
      </w:rPr>
      <w:tblPr/>
      <w:tcPr>
        <w:tcBorders>
          <w:top w:val="single" w:sz="8" w:space="0" w:color="5F5F5F" w:themeColor="accent5"/>
          <w:left w:val="nil"/>
          <w:bottom w:val="single" w:sz="8" w:space="0" w:color="5F5F5F" w:themeColor="accent5"/>
          <w:right w:val="nil"/>
          <w:insideH w:val="nil"/>
          <w:insideV w:val="nil"/>
        </w:tcBorders>
      </w:tcPr>
    </w:tblStylePr>
    <w:tblStylePr w:type="lastRow">
      <w:pPr>
        <w:spacing w:before="0" w:after="0" w:line="240" w:lineRule="auto"/>
      </w:pPr>
      <w:rPr>
        <w:b/>
        <w:bCs/>
      </w:rPr>
      <w:tblPr/>
      <w:tcPr>
        <w:tcBorders>
          <w:top w:val="single" w:sz="8" w:space="0" w:color="5F5F5F" w:themeColor="accent5"/>
          <w:left w:val="nil"/>
          <w:bottom w:val="single" w:sz="8" w:space="0" w:color="5F5F5F"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D7D7" w:themeFill="accent5" w:themeFillTint="3F"/>
      </w:tcPr>
    </w:tblStylePr>
    <w:tblStylePr w:type="band1Horz">
      <w:tblPr/>
      <w:tcPr>
        <w:tcBorders>
          <w:left w:val="nil"/>
          <w:right w:val="nil"/>
          <w:insideH w:val="nil"/>
          <w:insideV w:val="nil"/>
        </w:tcBorders>
        <w:shd w:val="clear" w:color="auto" w:fill="D7D7D7" w:themeFill="accent5" w:themeFillTint="3F"/>
      </w:tcPr>
    </w:tblStylePr>
  </w:style>
  <w:style w:type="table" w:styleId="LightShading-Accent6">
    <w:name w:val="Light Shading Accent 6"/>
    <w:basedOn w:val="TableNormal"/>
    <w:uiPriority w:val="60"/>
    <w:locked/>
    <w:rsid w:val="00F80750"/>
    <w:pPr>
      <w:spacing w:after="0" w:line="240" w:lineRule="auto"/>
    </w:pPr>
    <w:rPr>
      <w:color w:val="393939" w:themeColor="accent6" w:themeShade="BF"/>
    </w:rPr>
    <w:tblPr>
      <w:tblStyleRowBandSize w:val="1"/>
      <w:tblStyleColBandSize w:val="1"/>
      <w:tblBorders>
        <w:top w:val="single" w:sz="8" w:space="0" w:color="4D4D4D" w:themeColor="accent6"/>
        <w:bottom w:val="single" w:sz="8" w:space="0" w:color="4D4D4D" w:themeColor="accent6"/>
      </w:tblBorders>
    </w:tblPr>
    <w:tblStylePr w:type="firstRow">
      <w:pPr>
        <w:spacing w:before="0" w:after="0" w:line="240" w:lineRule="auto"/>
      </w:pPr>
      <w:rPr>
        <w:b/>
        <w:bCs/>
      </w:rPr>
      <w:tblPr/>
      <w:tcPr>
        <w:tcBorders>
          <w:top w:val="single" w:sz="8" w:space="0" w:color="4D4D4D" w:themeColor="accent6"/>
          <w:left w:val="nil"/>
          <w:bottom w:val="single" w:sz="8" w:space="0" w:color="4D4D4D" w:themeColor="accent6"/>
          <w:right w:val="nil"/>
          <w:insideH w:val="nil"/>
          <w:insideV w:val="nil"/>
        </w:tcBorders>
      </w:tcPr>
    </w:tblStylePr>
    <w:tblStylePr w:type="lastRow">
      <w:pPr>
        <w:spacing w:before="0" w:after="0" w:line="240" w:lineRule="auto"/>
      </w:pPr>
      <w:rPr>
        <w:b/>
        <w:bCs/>
      </w:rPr>
      <w:tblPr/>
      <w:tcPr>
        <w:tcBorders>
          <w:top w:val="single" w:sz="8" w:space="0" w:color="4D4D4D" w:themeColor="accent6"/>
          <w:left w:val="nil"/>
          <w:bottom w:val="single" w:sz="8" w:space="0" w:color="4D4D4D"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3D3" w:themeFill="accent6" w:themeFillTint="3F"/>
      </w:tcPr>
    </w:tblStylePr>
    <w:tblStylePr w:type="band1Horz">
      <w:tblPr/>
      <w:tcPr>
        <w:tcBorders>
          <w:left w:val="nil"/>
          <w:right w:val="nil"/>
          <w:insideH w:val="nil"/>
          <w:insideV w:val="nil"/>
        </w:tcBorders>
        <w:shd w:val="clear" w:color="auto" w:fill="D3D3D3" w:themeFill="accent6" w:themeFillTint="3F"/>
      </w:tcPr>
    </w:tblStylePr>
  </w:style>
  <w:style w:type="character" w:styleId="LineNumber">
    <w:name w:val="line number"/>
    <w:basedOn w:val="DefaultParagraphFont"/>
    <w:uiPriority w:val="99"/>
    <w:semiHidden/>
    <w:unhideWhenUsed/>
    <w:locked/>
    <w:rsid w:val="00F80750"/>
    <w:rPr>
      <w:noProof w:val="0"/>
      <w:lang w:val="en-AU"/>
    </w:rPr>
  </w:style>
  <w:style w:type="paragraph" w:styleId="List">
    <w:name w:val="List"/>
    <w:basedOn w:val="Normal"/>
    <w:uiPriority w:val="99"/>
    <w:semiHidden/>
    <w:unhideWhenUsed/>
    <w:locked/>
    <w:rsid w:val="00F80750"/>
    <w:pPr>
      <w:ind w:left="283" w:hanging="283"/>
      <w:contextualSpacing/>
    </w:pPr>
  </w:style>
  <w:style w:type="paragraph" w:styleId="List2">
    <w:name w:val="List 2"/>
    <w:basedOn w:val="Normal"/>
    <w:uiPriority w:val="99"/>
    <w:semiHidden/>
    <w:unhideWhenUsed/>
    <w:locked/>
    <w:rsid w:val="00F80750"/>
    <w:pPr>
      <w:ind w:left="566" w:hanging="283"/>
      <w:contextualSpacing/>
    </w:pPr>
  </w:style>
  <w:style w:type="paragraph" w:styleId="List3">
    <w:name w:val="List 3"/>
    <w:basedOn w:val="Normal"/>
    <w:uiPriority w:val="99"/>
    <w:semiHidden/>
    <w:unhideWhenUsed/>
    <w:locked/>
    <w:rsid w:val="00F80750"/>
    <w:pPr>
      <w:ind w:left="849" w:hanging="283"/>
      <w:contextualSpacing/>
    </w:pPr>
  </w:style>
  <w:style w:type="paragraph" w:styleId="List4">
    <w:name w:val="List 4"/>
    <w:basedOn w:val="Normal"/>
    <w:uiPriority w:val="99"/>
    <w:semiHidden/>
    <w:unhideWhenUsed/>
    <w:locked/>
    <w:rsid w:val="00F80750"/>
    <w:pPr>
      <w:ind w:left="1132" w:hanging="283"/>
      <w:contextualSpacing/>
    </w:pPr>
  </w:style>
  <w:style w:type="paragraph" w:styleId="List5">
    <w:name w:val="List 5"/>
    <w:basedOn w:val="Normal"/>
    <w:uiPriority w:val="99"/>
    <w:semiHidden/>
    <w:unhideWhenUsed/>
    <w:locked/>
    <w:rsid w:val="00F80750"/>
    <w:pPr>
      <w:ind w:left="1415" w:hanging="283"/>
      <w:contextualSpacing/>
    </w:pPr>
  </w:style>
  <w:style w:type="paragraph" w:styleId="ListBullet5">
    <w:name w:val="List Bullet 5"/>
    <w:basedOn w:val="Normal"/>
    <w:uiPriority w:val="99"/>
    <w:semiHidden/>
    <w:locked/>
    <w:rsid w:val="00F80750"/>
    <w:pPr>
      <w:numPr>
        <w:numId w:val="21"/>
      </w:numPr>
      <w:contextualSpacing/>
    </w:pPr>
  </w:style>
  <w:style w:type="paragraph" w:styleId="ListContinue">
    <w:name w:val="List Continue"/>
    <w:basedOn w:val="Normal"/>
    <w:uiPriority w:val="99"/>
    <w:semiHidden/>
    <w:unhideWhenUsed/>
    <w:locked/>
    <w:rsid w:val="00F80750"/>
    <w:pPr>
      <w:spacing w:after="120"/>
      <w:ind w:left="283"/>
      <w:contextualSpacing/>
    </w:pPr>
  </w:style>
  <w:style w:type="paragraph" w:styleId="ListContinue2">
    <w:name w:val="List Continue 2"/>
    <w:basedOn w:val="Normal"/>
    <w:uiPriority w:val="99"/>
    <w:semiHidden/>
    <w:unhideWhenUsed/>
    <w:locked/>
    <w:rsid w:val="00F80750"/>
    <w:pPr>
      <w:spacing w:after="120"/>
      <w:ind w:left="566"/>
      <w:contextualSpacing/>
    </w:pPr>
  </w:style>
  <w:style w:type="paragraph" w:styleId="ListContinue3">
    <w:name w:val="List Continue 3"/>
    <w:basedOn w:val="Normal"/>
    <w:uiPriority w:val="99"/>
    <w:semiHidden/>
    <w:unhideWhenUsed/>
    <w:locked/>
    <w:rsid w:val="00F80750"/>
    <w:pPr>
      <w:spacing w:after="120"/>
      <w:ind w:left="849"/>
      <w:contextualSpacing/>
    </w:pPr>
  </w:style>
  <w:style w:type="paragraph" w:styleId="ListContinue4">
    <w:name w:val="List Continue 4"/>
    <w:basedOn w:val="Normal"/>
    <w:uiPriority w:val="99"/>
    <w:semiHidden/>
    <w:unhideWhenUsed/>
    <w:locked/>
    <w:rsid w:val="00F80750"/>
    <w:pPr>
      <w:spacing w:after="120"/>
      <w:ind w:left="1132"/>
      <w:contextualSpacing/>
    </w:pPr>
  </w:style>
  <w:style w:type="paragraph" w:styleId="ListContinue5">
    <w:name w:val="List Continue 5"/>
    <w:basedOn w:val="Normal"/>
    <w:uiPriority w:val="99"/>
    <w:semiHidden/>
    <w:unhideWhenUsed/>
    <w:locked/>
    <w:rsid w:val="00F80750"/>
    <w:pPr>
      <w:spacing w:after="120"/>
      <w:ind w:left="1415"/>
      <w:contextualSpacing/>
    </w:pPr>
  </w:style>
  <w:style w:type="paragraph" w:styleId="ListNumber5">
    <w:name w:val="List Number 5"/>
    <w:basedOn w:val="Normal"/>
    <w:uiPriority w:val="99"/>
    <w:semiHidden/>
    <w:locked/>
    <w:rsid w:val="00F80750"/>
    <w:pPr>
      <w:numPr>
        <w:numId w:val="22"/>
      </w:numPr>
      <w:contextualSpacing/>
    </w:pPr>
  </w:style>
  <w:style w:type="paragraph" w:styleId="ListParagraph">
    <w:name w:val="List Paragraph"/>
    <w:basedOn w:val="Normal"/>
    <w:uiPriority w:val="34"/>
    <w:qFormat/>
    <w:rsid w:val="00F80750"/>
    <w:pPr>
      <w:ind w:left="720"/>
      <w:contextualSpacing/>
    </w:pPr>
  </w:style>
  <w:style w:type="paragraph" w:styleId="MacroText">
    <w:name w:val="macro"/>
    <w:link w:val="MacroTextChar"/>
    <w:uiPriority w:val="99"/>
    <w:semiHidden/>
    <w:unhideWhenUsed/>
    <w:locked/>
    <w:rsid w:val="00F80750"/>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rPr>
  </w:style>
  <w:style w:type="character" w:customStyle="1" w:styleId="MacroTextChar">
    <w:name w:val="Macro Text Char"/>
    <w:basedOn w:val="DefaultParagraphFont"/>
    <w:link w:val="MacroText"/>
    <w:uiPriority w:val="99"/>
    <w:semiHidden/>
    <w:rsid w:val="00F80750"/>
    <w:rPr>
      <w:rFonts w:ascii="Consolas" w:hAnsi="Consolas"/>
      <w:noProof w:val="0"/>
      <w:sz w:val="20"/>
      <w:szCs w:val="20"/>
      <w:lang w:val="en-AU"/>
    </w:rPr>
  </w:style>
  <w:style w:type="table" w:styleId="MediumGrid1">
    <w:name w:val="Medium Grid 1"/>
    <w:basedOn w:val="TableNormal"/>
    <w:uiPriority w:val="67"/>
    <w:locked/>
    <w:rsid w:val="00F80750"/>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locked/>
    <w:rsid w:val="00F80750"/>
    <w:pPr>
      <w:spacing w:after="0" w:line="240" w:lineRule="auto"/>
    </w:pPr>
    <w:tblPr>
      <w:tblStyleRowBandSize w:val="1"/>
      <w:tblStyleColBandSize w:val="1"/>
      <w:tblBorders>
        <w:top w:val="single" w:sz="8" w:space="0" w:color="E5E5E5" w:themeColor="accent1" w:themeTint="BF"/>
        <w:left w:val="single" w:sz="8" w:space="0" w:color="E5E5E5" w:themeColor="accent1" w:themeTint="BF"/>
        <w:bottom w:val="single" w:sz="8" w:space="0" w:color="E5E5E5" w:themeColor="accent1" w:themeTint="BF"/>
        <w:right w:val="single" w:sz="8" w:space="0" w:color="E5E5E5" w:themeColor="accent1" w:themeTint="BF"/>
        <w:insideH w:val="single" w:sz="8" w:space="0" w:color="E5E5E5" w:themeColor="accent1" w:themeTint="BF"/>
        <w:insideV w:val="single" w:sz="8" w:space="0" w:color="E5E5E5" w:themeColor="accent1" w:themeTint="BF"/>
      </w:tblBorders>
    </w:tblPr>
    <w:tcPr>
      <w:shd w:val="clear" w:color="auto" w:fill="F6F6F6" w:themeFill="accent1" w:themeFillTint="3F"/>
    </w:tcPr>
    <w:tblStylePr w:type="firstRow">
      <w:rPr>
        <w:b/>
        <w:bCs/>
      </w:rPr>
    </w:tblStylePr>
    <w:tblStylePr w:type="lastRow">
      <w:rPr>
        <w:b/>
        <w:bCs/>
      </w:rPr>
      <w:tblPr/>
      <w:tcPr>
        <w:tcBorders>
          <w:top w:val="single" w:sz="18" w:space="0" w:color="E5E5E5" w:themeColor="accent1" w:themeTint="BF"/>
        </w:tcBorders>
      </w:tcPr>
    </w:tblStylePr>
    <w:tblStylePr w:type="firstCol">
      <w:rPr>
        <w:b/>
        <w:bCs/>
      </w:rPr>
    </w:tblStylePr>
    <w:tblStylePr w:type="lastCol">
      <w:rPr>
        <w:b/>
        <w:bCs/>
      </w:rPr>
    </w:tblStylePr>
    <w:tblStylePr w:type="band1Vert">
      <w:tblPr/>
      <w:tcPr>
        <w:shd w:val="clear" w:color="auto" w:fill="EEEEEE" w:themeFill="accent1" w:themeFillTint="7F"/>
      </w:tcPr>
    </w:tblStylePr>
    <w:tblStylePr w:type="band1Horz">
      <w:tblPr/>
      <w:tcPr>
        <w:shd w:val="clear" w:color="auto" w:fill="EEEEEE" w:themeFill="accent1" w:themeFillTint="7F"/>
      </w:tcPr>
    </w:tblStylePr>
  </w:style>
  <w:style w:type="table" w:styleId="MediumGrid1-Accent2">
    <w:name w:val="Medium Grid 1 Accent 2"/>
    <w:basedOn w:val="TableNormal"/>
    <w:uiPriority w:val="67"/>
    <w:locked/>
    <w:rsid w:val="00F80750"/>
    <w:pPr>
      <w:spacing w:after="0" w:line="240" w:lineRule="auto"/>
    </w:pPr>
    <w:tblPr>
      <w:tblStyleRowBandSize w:val="1"/>
      <w:tblStyleColBandSize w:val="1"/>
      <w:tblBorders>
        <w:top w:val="single" w:sz="8" w:space="0" w:color="C5C5C5" w:themeColor="accent2" w:themeTint="BF"/>
        <w:left w:val="single" w:sz="8" w:space="0" w:color="C5C5C5" w:themeColor="accent2" w:themeTint="BF"/>
        <w:bottom w:val="single" w:sz="8" w:space="0" w:color="C5C5C5" w:themeColor="accent2" w:themeTint="BF"/>
        <w:right w:val="single" w:sz="8" w:space="0" w:color="C5C5C5" w:themeColor="accent2" w:themeTint="BF"/>
        <w:insideH w:val="single" w:sz="8" w:space="0" w:color="C5C5C5" w:themeColor="accent2" w:themeTint="BF"/>
        <w:insideV w:val="single" w:sz="8" w:space="0" w:color="C5C5C5" w:themeColor="accent2" w:themeTint="BF"/>
      </w:tblBorders>
    </w:tblPr>
    <w:tcPr>
      <w:shd w:val="clear" w:color="auto" w:fill="EBEBEB" w:themeFill="accent2" w:themeFillTint="3F"/>
    </w:tcPr>
    <w:tblStylePr w:type="firstRow">
      <w:rPr>
        <w:b/>
        <w:bCs/>
      </w:rPr>
    </w:tblStylePr>
    <w:tblStylePr w:type="lastRow">
      <w:rPr>
        <w:b/>
        <w:bCs/>
      </w:rPr>
      <w:tblPr/>
      <w:tcPr>
        <w:tcBorders>
          <w:top w:val="single" w:sz="18" w:space="0" w:color="C5C5C5" w:themeColor="accent2" w:themeTint="BF"/>
        </w:tcBorders>
      </w:tcPr>
    </w:tblStylePr>
    <w:tblStylePr w:type="firstCol">
      <w:rPr>
        <w:b/>
        <w:bCs/>
      </w:rPr>
    </w:tblStylePr>
    <w:tblStylePr w:type="lastCol">
      <w:rPr>
        <w:b/>
        <w:bCs/>
      </w:rPr>
    </w:tblStylePr>
    <w:tblStylePr w:type="band1Vert">
      <w:tblPr/>
      <w:tcPr>
        <w:shd w:val="clear" w:color="auto" w:fill="D8D8D8" w:themeFill="accent2" w:themeFillTint="7F"/>
      </w:tcPr>
    </w:tblStylePr>
    <w:tblStylePr w:type="band1Horz">
      <w:tblPr/>
      <w:tcPr>
        <w:shd w:val="clear" w:color="auto" w:fill="D8D8D8" w:themeFill="accent2" w:themeFillTint="7F"/>
      </w:tcPr>
    </w:tblStylePr>
  </w:style>
  <w:style w:type="table" w:styleId="MediumGrid1-Accent3">
    <w:name w:val="Medium Grid 1 Accent 3"/>
    <w:basedOn w:val="TableNormal"/>
    <w:uiPriority w:val="67"/>
    <w:locked/>
    <w:rsid w:val="00F80750"/>
    <w:pPr>
      <w:spacing w:after="0" w:line="240" w:lineRule="auto"/>
    </w:pPr>
    <w:tblPr>
      <w:tblStyleRowBandSize w:val="1"/>
      <w:tblStyleColBandSize w:val="1"/>
      <w:tblBorders>
        <w:top w:val="single" w:sz="8" w:space="0" w:color="B0B0B0" w:themeColor="accent3" w:themeTint="BF"/>
        <w:left w:val="single" w:sz="8" w:space="0" w:color="B0B0B0" w:themeColor="accent3" w:themeTint="BF"/>
        <w:bottom w:val="single" w:sz="8" w:space="0" w:color="B0B0B0" w:themeColor="accent3" w:themeTint="BF"/>
        <w:right w:val="single" w:sz="8" w:space="0" w:color="B0B0B0" w:themeColor="accent3" w:themeTint="BF"/>
        <w:insideH w:val="single" w:sz="8" w:space="0" w:color="B0B0B0" w:themeColor="accent3" w:themeTint="BF"/>
        <w:insideV w:val="single" w:sz="8" w:space="0" w:color="B0B0B0" w:themeColor="accent3" w:themeTint="BF"/>
      </w:tblBorders>
    </w:tblPr>
    <w:tcPr>
      <w:shd w:val="clear" w:color="auto" w:fill="E5E5E5" w:themeFill="accent3" w:themeFillTint="3F"/>
    </w:tcPr>
    <w:tblStylePr w:type="firstRow">
      <w:rPr>
        <w:b/>
        <w:bCs/>
      </w:rPr>
    </w:tblStylePr>
    <w:tblStylePr w:type="lastRow">
      <w:rPr>
        <w:b/>
        <w:bCs/>
      </w:rPr>
      <w:tblPr/>
      <w:tcPr>
        <w:tcBorders>
          <w:top w:val="single" w:sz="18" w:space="0" w:color="B0B0B0" w:themeColor="accent3" w:themeTint="BF"/>
        </w:tcBorders>
      </w:tcPr>
    </w:tblStylePr>
    <w:tblStylePr w:type="firstCol">
      <w:rPr>
        <w:b/>
        <w:bCs/>
      </w:rPr>
    </w:tblStylePr>
    <w:tblStylePr w:type="lastCol">
      <w:rPr>
        <w:b/>
        <w:bCs/>
      </w:rPr>
    </w:tblStylePr>
    <w:tblStylePr w:type="band1Vert">
      <w:tblPr/>
      <w:tcPr>
        <w:shd w:val="clear" w:color="auto" w:fill="CACACA" w:themeFill="accent3" w:themeFillTint="7F"/>
      </w:tcPr>
    </w:tblStylePr>
    <w:tblStylePr w:type="band1Horz">
      <w:tblPr/>
      <w:tcPr>
        <w:shd w:val="clear" w:color="auto" w:fill="CACACA" w:themeFill="accent3" w:themeFillTint="7F"/>
      </w:tcPr>
    </w:tblStylePr>
  </w:style>
  <w:style w:type="table" w:styleId="MediumGrid1-Accent4">
    <w:name w:val="Medium Grid 1 Accent 4"/>
    <w:basedOn w:val="TableNormal"/>
    <w:uiPriority w:val="67"/>
    <w:locked/>
    <w:rsid w:val="00F80750"/>
    <w:pPr>
      <w:spacing w:after="0" w:line="240" w:lineRule="auto"/>
    </w:pPr>
    <w:tblPr>
      <w:tblStyleRowBandSize w:val="1"/>
      <w:tblStyleColBandSize w:val="1"/>
      <w:tblBorders>
        <w:top w:val="single" w:sz="8" w:space="0" w:color="9F9F9F" w:themeColor="accent4" w:themeTint="BF"/>
        <w:left w:val="single" w:sz="8" w:space="0" w:color="9F9F9F" w:themeColor="accent4" w:themeTint="BF"/>
        <w:bottom w:val="single" w:sz="8" w:space="0" w:color="9F9F9F" w:themeColor="accent4" w:themeTint="BF"/>
        <w:right w:val="single" w:sz="8" w:space="0" w:color="9F9F9F" w:themeColor="accent4" w:themeTint="BF"/>
        <w:insideH w:val="single" w:sz="8" w:space="0" w:color="9F9F9F" w:themeColor="accent4" w:themeTint="BF"/>
        <w:insideV w:val="single" w:sz="8" w:space="0" w:color="9F9F9F" w:themeColor="accent4" w:themeTint="BF"/>
      </w:tblBorders>
    </w:tblPr>
    <w:tcPr>
      <w:shd w:val="clear" w:color="auto" w:fill="DFDFDF" w:themeFill="accent4" w:themeFillTint="3F"/>
    </w:tcPr>
    <w:tblStylePr w:type="firstRow">
      <w:rPr>
        <w:b/>
        <w:bCs/>
      </w:rPr>
    </w:tblStylePr>
    <w:tblStylePr w:type="lastRow">
      <w:rPr>
        <w:b/>
        <w:bCs/>
      </w:rPr>
      <w:tblPr/>
      <w:tcPr>
        <w:tcBorders>
          <w:top w:val="single" w:sz="18" w:space="0" w:color="9F9F9F" w:themeColor="accent4" w:themeTint="BF"/>
        </w:tcBorders>
      </w:tcPr>
    </w:tblStylePr>
    <w:tblStylePr w:type="firstCol">
      <w:rPr>
        <w:b/>
        <w:bCs/>
      </w:rPr>
    </w:tblStylePr>
    <w:tblStylePr w:type="lastCol">
      <w:rPr>
        <w:b/>
        <w:bCs/>
      </w:rPr>
    </w:tblStylePr>
    <w:tblStylePr w:type="band1Vert">
      <w:tblPr/>
      <w:tcPr>
        <w:shd w:val="clear" w:color="auto" w:fill="BFBFBF" w:themeFill="accent4" w:themeFillTint="7F"/>
      </w:tcPr>
    </w:tblStylePr>
    <w:tblStylePr w:type="band1Horz">
      <w:tblPr/>
      <w:tcPr>
        <w:shd w:val="clear" w:color="auto" w:fill="BFBFBF" w:themeFill="accent4" w:themeFillTint="7F"/>
      </w:tcPr>
    </w:tblStylePr>
  </w:style>
  <w:style w:type="table" w:styleId="MediumGrid1-Accent5">
    <w:name w:val="Medium Grid 1 Accent 5"/>
    <w:basedOn w:val="TableNormal"/>
    <w:uiPriority w:val="67"/>
    <w:locked/>
    <w:rsid w:val="00F80750"/>
    <w:pPr>
      <w:spacing w:after="0" w:line="240" w:lineRule="auto"/>
    </w:pPr>
    <w:tblPr>
      <w:tblStyleRowBandSize w:val="1"/>
      <w:tblStyleColBandSize w:val="1"/>
      <w:tbl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single" w:sz="8" w:space="0" w:color="878787" w:themeColor="accent5" w:themeTint="BF"/>
        <w:insideV w:val="single" w:sz="8" w:space="0" w:color="878787" w:themeColor="accent5" w:themeTint="BF"/>
      </w:tblBorders>
    </w:tblPr>
    <w:tcPr>
      <w:shd w:val="clear" w:color="auto" w:fill="D7D7D7" w:themeFill="accent5" w:themeFillTint="3F"/>
    </w:tcPr>
    <w:tblStylePr w:type="firstRow">
      <w:rPr>
        <w:b/>
        <w:bCs/>
      </w:rPr>
    </w:tblStylePr>
    <w:tblStylePr w:type="lastRow">
      <w:rPr>
        <w:b/>
        <w:bCs/>
      </w:rPr>
      <w:tblPr/>
      <w:tcPr>
        <w:tcBorders>
          <w:top w:val="single" w:sz="18" w:space="0" w:color="878787" w:themeColor="accent5" w:themeTint="BF"/>
        </w:tcBorders>
      </w:tcPr>
    </w:tblStylePr>
    <w:tblStylePr w:type="firstCol">
      <w:rPr>
        <w:b/>
        <w:bCs/>
      </w:rPr>
    </w:tblStylePr>
    <w:tblStylePr w:type="lastCol">
      <w:rPr>
        <w:b/>
        <w:bCs/>
      </w:rPr>
    </w:tblStylePr>
    <w:tblStylePr w:type="band1Vert">
      <w:tblPr/>
      <w:tcPr>
        <w:shd w:val="clear" w:color="auto" w:fill="AFAFAF" w:themeFill="accent5" w:themeFillTint="7F"/>
      </w:tcPr>
    </w:tblStylePr>
    <w:tblStylePr w:type="band1Horz">
      <w:tblPr/>
      <w:tcPr>
        <w:shd w:val="clear" w:color="auto" w:fill="AFAFAF" w:themeFill="accent5" w:themeFillTint="7F"/>
      </w:tcPr>
    </w:tblStylePr>
  </w:style>
  <w:style w:type="table" w:styleId="MediumGrid1-Accent6">
    <w:name w:val="Medium Grid 1 Accent 6"/>
    <w:basedOn w:val="TableNormal"/>
    <w:uiPriority w:val="67"/>
    <w:locked/>
    <w:rsid w:val="00F80750"/>
    <w:pPr>
      <w:spacing w:after="0" w:line="240" w:lineRule="auto"/>
    </w:pPr>
    <w:tblPr>
      <w:tblStyleRowBandSize w:val="1"/>
      <w:tblStyleColBandSize w:val="1"/>
      <w:tbl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single" w:sz="8" w:space="0" w:color="797979" w:themeColor="accent6" w:themeTint="BF"/>
        <w:insideV w:val="single" w:sz="8" w:space="0" w:color="797979" w:themeColor="accent6" w:themeTint="BF"/>
      </w:tblBorders>
    </w:tblPr>
    <w:tcPr>
      <w:shd w:val="clear" w:color="auto" w:fill="D3D3D3" w:themeFill="accent6" w:themeFillTint="3F"/>
    </w:tcPr>
    <w:tblStylePr w:type="firstRow">
      <w:rPr>
        <w:b/>
        <w:bCs/>
      </w:rPr>
    </w:tblStylePr>
    <w:tblStylePr w:type="lastRow">
      <w:rPr>
        <w:b/>
        <w:bCs/>
      </w:rPr>
      <w:tblPr/>
      <w:tcPr>
        <w:tcBorders>
          <w:top w:val="single" w:sz="18" w:space="0" w:color="797979" w:themeColor="accent6" w:themeTint="BF"/>
        </w:tcBorders>
      </w:tcPr>
    </w:tblStylePr>
    <w:tblStylePr w:type="firstCol">
      <w:rPr>
        <w:b/>
        <w:bCs/>
      </w:rPr>
    </w:tblStylePr>
    <w:tblStylePr w:type="lastCol">
      <w:rPr>
        <w:b/>
        <w:bCs/>
      </w:rPr>
    </w:tblStylePr>
    <w:tblStylePr w:type="band1Vert">
      <w:tblPr/>
      <w:tcPr>
        <w:shd w:val="clear" w:color="auto" w:fill="A6A6A6" w:themeFill="accent6" w:themeFillTint="7F"/>
      </w:tcPr>
    </w:tblStylePr>
    <w:tblStylePr w:type="band1Horz">
      <w:tblPr/>
      <w:tcPr>
        <w:shd w:val="clear" w:color="auto" w:fill="A6A6A6" w:themeFill="accent6" w:themeFillTint="7F"/>
      </w:tcPr>
    </w:tblStylePr>
  </w:style>
  <w:style w:type="table" w:styleId="MediumGrid2">
    <w:name w:val="Medium Grid 2"/>
    <w:basedOn w:val="TableNormal"/>
    <w:uiPriority w:val="68"/>
    <w:locked/>
    <w:rsid w:val="00F8075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locked/>
    <w:rsid w:val="00F8075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DDDDDD" w:themeColor="accent1"/>
        <w:left w:val="single" w:sz="8" w:space="0" w:color="DDDDDD" w:themeColor="accent1"/>
        <w:bottom w:val="single" w:sz="8" w:space="0" w:color="DDDDDD" w:themeColor="accent1"/>
        <w:right w:val="single" w:sz="8" w:space="0" w:color="DDDDDD" w:themeColor="accent1"/>
        <w:insideH w:val="single" w:sz="8" w:space="0" w:color="DDDDDD" w:themeColor="accent1"/>
        <w:insideV w:val="single" w:sz="8" w:space="0" w:color="DDDDDD" w:themeColor="accent1"/>
      </w:tblBorders>
    </w:tblPr>
    <w:tcPr>
      <w:shd w:val="clear" w:color="auto" w:fill="F6F6F6" w:themeFill="accent1" w:themeFillTint="3F"/>
    </w:tcPr>
    <w:tblStylePr w:type="firstRow">
      <w:rPr>
        <w:b/>
        <w:bCs/>
        <w:color w:val="000000" w:themeColor="text1"/>
      </w:rPr>
      <w:tblPr/>
      <w:tcPr>
        <w:shd w:val="clear" w:color="auto" w:fill="FBFB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8F8F8" w:themeFill="accent1" w:themeFillTint="33"/>
      </w:tcPr>
    </w:tblStylePr>
    <w:tblStylePr w:type="band1Vert">
      <w:tblPr/>
      <w:tcPr>
        <w:shd w:val="clear" w:color="auto" w:fill="EEEEEE" w:themeFill="accent1" w:themeFillTint="7F"/>
      </w:tcPr>
    </w:tblStylePr>
    <w:tblStylePr w:type="band1Horz">
      <w:tblPr/>
      <w:tcPr>
        <w:tcBorders>
          <w:insideH w:val="single" w:sz="6" w:space="0" w:color="DDDDDD" w:themeColor="accent1"/>
          <w:insideV w:val="single" w:sz="6" w:space="0" w:color="DDDDDD" w:themeColor="accent1"/>
        </w:tcBorders>
        <w:shd w:val="clear" w:color="auto" w:fill="EEEEE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locked/>
    <w:rsid w:val="00F8075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2B2B2" w:themeColor="accent2"/>
        <w:left w:val="single" w:sz="8" w:space="0" w:color="B2B2B2" w:themeColor="accent2"/>
        <w:bottom w:val="single" w:sz="8" w:space="0" w:color="B2B2B2" w:themeColor="accent2"/>
        <w:right w:val="single" w:sz="8" w:space="0" w:color="B2B2B2" w:themeColor="accent2"/>
        <w:insideH w:val="single" w:sz="8" w:space="0" w:color="B2B2B2" w:themeColor="accent2"/>
        <w:insideV w:val="single" w:sz="8" w:space="0" w:color="B2B2B2" w:themeColor="accent2"/>
      </w:tblBorders>
    </w:tblPr>
    <w:tcPr>
      <w:shd w:val="clear" w:color="auto" w:fill="EBEBEB" w:themeFill="accent2" w:themeFillTint="3F"/>
    </w:tcPr>
    <w:tblStylePr w:type="firstRow">
      <w:rPr>
        <w:b/>
        <w:bCs/>
        <w:color w:val="000000" w:themeColor="text1"/>
      </w:rPr>
      <w:tblPr/>
      <w:tcPr>
        <w:shd w:val="clear" w:color="auto" w:fill="F7F7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EFEF" w:themeFill="accent2" w:themeFillTint="33"/>
      </w:tcPr>
    </w:tblStylePr>
    <w:tblStylePr w:type="band1Vert">
      <w:tblPr/>
      <w:tcPr>
        <w:shd w:val="clear" w:color="auto" w:fill="D8D8D8" w:themeFill="accent2" w:themeFillTint="7F"/>
      </w:tcPr>
    </w:tblStylePr>
    <w:tblStylePr w:type="band1Horz">
      <w:tblPr/>
      <w:tcPr>
        <w:tcBorders>
          <w:insideH w:val="single" w:sz="6" w:space="0" w:color="B2B2B2" w:themeColor="accent2"/>
          <w:insideV w:val="single" w:sz="6" w:space="0" w:color="B2B2B2" w:themeColor="accent2"/>
        </w:tcBorders>
        <w:shd w:val="clear" w:color="auto" w:fill="D8D8D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locked/>
    <w:rsid w:val="00F8075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69696" w:themeColor="accent3"/>
        <w:left w:val="single" w:sz="8" w:space="0" w:color="969696" w:themeColor="accent3"/>
        <w:bottom w:val="single" w:sz="8" w:space="0" w:color="969696" w:themeColor="accent3"/>
        <w:right w:val="single" w:sz="8" w:space="0" w:color="969696" w:themeColor="accent3"/>
        <w:insideH w:val="single" w:sz="8" w:space="0" w:color="969696" w:themeColor="accent3"/>
        <w:insideV w:val="single" w:sz="8" w:space="0" w:color="969696" w:themeColor="accent3"/>
      </w:tblBorders>
    </w:tblPr>
    <w:tcPr>
      <w:shd w:val="clear" w:color="auto" w:fill="E5E5E5" w:themeFill="accent3" w:themeFillTint="3F"/>
    </w:tcPr>
    <w:tblStylePr w:type="firstRow">
      <w:rPr>
        <w:b/>
        <w:bCs/>
        <w:color w:val="000000" w:themeColor="text1"/>
      </w:rPr>
      <w:tblPr/>
      <w:tcPr>
        <w:shd w:val="clear" w:color="auto" w:fill="F4F4F4"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EAEA" w:themeFill="accent3" w:themeFillTint="33"/>
      </w:tcPr>
    </w:tblStylePr>
    <w:tblStylePr w:type="band1Vert">
      <w:tblPr/>
      <w:tcPr>
        <w:shd w:val="clear" w:color="auto" w:fill="CACACA" w:themeFill="accent3" w:themeFillTint="7F"/>
      </w:tcPr>
    </w:tblStylePr>
    <w:tblStylePr w:type="band1Horz">
      <w:tblPr/>
      <w:tcPr>
        <w:tcBorders>
          <w:insideH w:val="single" w:sz="6" w:space="0" w:color="969696" w:themeColor="accent3"/>
          <w:insideV w:val="single" w:sz="6" w:space="0" w:color="969696" w:themeColor="accent3"/>
        </w:tcBorders>
        <w:shd w:val="clear" w:color="auto" w:fill="CACAC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locked/>
    <w:rsid w:val="00F8075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8080" w:themeColor="accent4"/>
        <w:left w:val="single" w:sz="8" w:space="0" w:color="808080" w:themeColor="accent4"/>
        <w:bottom w:val="single" w:sz="8" w:space="0" w:color="808080" w:themeColor="accent4"/>
        <w:right w:val="single" w:sz="8" w:space="0" w:color="808080" w:themeColor="accent4"/>
        <w:insideH w:val="single" w:sz="8" w:space="0" w:color="808080" w:themeColor="accent4"/>
        <w:insideV w:val="single" w:sz="8" w:space="0" w:color="808080" w:themeColor="accent4"/>
      </w:tblBorders>
    </w:tblPr>
    <w:tcPr>
      <w:shd w:val="clear" w:color="auto" w:fill="DFDFDF" w:themeFill="accent4" w:themeFillTint="3F"/>
    </w:tcPr>
    <w:tblStylePr w:type="firstRow">
      <w:rPr>
        <w:b/>
        <w:bCs/>
        <w:color w:val="000000" w:themeColor="text1"/>
      </w:rPr>
      <w:tblPr/>
      <w:tcPr>
        <w:shd w:val="clear" w:color="auto" w:fill="F2F2F2"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E5E5" w:themeFill="accent4" w:themeFillTint="33"/>
      </w:tcPr>
    </w:tblStylePr>
    <w:tblStylePr w:type="band1Vert">
      <w:tblPr/>
      <w:tcPr>
        <w:shd w:val="clear" w:color="auto" w:fill="BFBFBF" w:themeFill="accent4" w:themeFillTint="7F"/>
      </w:tcPr>
    </w:tblStylePr>
    <w:tblStylePr w:type="band1Horz">
      <w:tblPr/>
      <w:tcPr>
        <w:tcBorders>
          <w:insideH w:val="single" w:sz="6" w:space="0" w:color="808080" w:themeColor="accent4"/>
          <w:insideV w:val="single" w:sz="6" w:space="0" w:color="808080" w:themeColor="accent4"/>
        </w:tcBorders>
        <w:shd w:val="clear" w:color="auto" w:fill="BFBFB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locked/>
    <w:rsid w:val="00F8075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insideH w:val="single" w:sz="8" w:space="0" w:color="5F5F5F" w:themeColor="accent5"/>
        <w:insideV w:val="single" w:sz="8" w:space="0" w:color="5F5F5F" w:themeColor="accent5"/>
      </w:tblBorders>
    </w:tblPr>
    <w:tcPr>
      <w:shd w:val="clear" w:color="auto" w:fill="D7D7D7" w:themeFill="accent5" w:themeFillTint="3F"/>
    </w:tcPr>
    <w:tblStylePr w:type="firstRow">
      <w:rPr>
        <w:b/>
        <w:bCs/>
        <w:color w:val="000000" w:themeColor="text1"/>
      </w:rPr>
      <w:tblPr/>
      <w:tcPr>
        <w:shd w:val="clear" w:color="auto" w:fill="EFEFEF"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FDFDF" w:themeFill="accent5" w:themeFillTint="33"/>
      </w:tcPr>
    </w:tblStylePr>
    <w:tblStylePr w:type="band1Vert">
      <w:tblPr/>
      <w:tcPr>
        <w:shd w:val="clear" w:color="auto" w:fill="AFAFAF" w:themeFill="accent5" w:themeFillTint="7F"/>
      </w:tcPr>
    </w:tblStylePr>
    <w:tblStylePr w:type="band1Horz">
      <w:tblPr/>
      <w:tcPr>
        <w:tcBorders>
          <w:insideH w:val="single" w:sz="6" w:space="0" w:color="5F5F5F" w:themeColor="accent5"/>
          <w:insideV w:val="single" w:sz="6" w:space="0" w:color="5F5F5F" w:themeColor="accent5"/>
        </w:tcBorders>
        <w:shd w:val="clear" w:color="auto" w:fill="AFAFAF"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locked/>
    <w:rsid w:val="00F8075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insideH w:val="single" w:sz="8" w:space="0" w:color="4D4D4D" w:themeColor="accent6"/>
        <w:insideV w:val="single" w:sz="8" w:space="0" w:color="4D4D4D" w:themeColor="accent6"/>
      </w:tblBorders>
    </w:tblPr>
    <w:tcPr>
      <w:shd w:val="clear" w:color="auto" w:fill="D3D3D3" w:themeFill="accent6" w:themeFillTint="3F"/>
    </w:tcPr>
    <w:tblStylePr w:type="firstRow">
      <w:rPr>
        <w:b/>
        <w:bCs/>
        <w:color w:val="000000" w:themeColor="text1"/>
      </w:rPr>
      <w:tblPr/>
      <w:tcPr>
        <w:shd w:val="clear" w:color="auto" w:fill="EDEDED"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DBDB" w:themeFill="accent6" w:themeFillTint="33"/>
      </w:tcPr>
    </w:tblStylePr>
    <w:tblStylePr w:type="band1Vert">
      <w:tblPr/>
      <w:tcPr>
        <w:shd w:val="clear" w:color="auto" w:fill="A6A6A6" w:themeFill="accent6" w:themeFillTint="7F"/>
      </w:tcPr>
    </w:tblStylePr>
    <w:tblStylePr w:type="band1Horz">
      <w:tblPr/>
      <w:tcPr>
        <w:tcBorders>
          <w:insideH w:val="single" w:sz="6" w:space="0" w:color="4D4D4D" w:themeColor="accent6"/>
          <w:insideV w:val="single" w:sz="6" w:space="0" w:color="4D4D4D" w:themeColor="accent6"/>
        </w:tcBorders>
        <w:shd w:val="clear" w:color="auto" w:fill="A6A6A6"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locked/>
    <w:rsid w:val="00F8075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locked/>
    <w:rsid w:val="00F8075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6F6F6"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DDDDD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DDDDD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DDDDD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DDDDD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EEEE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EEEEE" w:themeFill="accent1" w:themeFillTint="7F"/>
      </w:tcPr>
    </w:tblStylePr>
  </w:style>
  <w:style w:type="table" w:styleId="MediumGrid3-Accent2">
    <w:name w:val="Medium Grid 3 Accent 2"/>
    <w:basedOn w:val="TableNormal"/>
    <w:uiPriority w:val="69"/>
    <w:locked/>
    <w:rsid w:val="00F8075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EB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2B2B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2B2B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2B2B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2B2B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D8D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D8D8" w:themeFill="accent2" w:themeFillTint="7F"/>
      </w:tcPr>
    </w:tblStylePr>
  </w:style>
  <w:style w:type="table" w:styleId="MediumGrid3-Accent3">
    <w:name w:val="Medium Grid 3 Accent 3"/>
    <w:basedOn w:val="TableNormal"/>
    <w:uiPriority w:val="69"/>
    <w:locked/>
    <w:rsid w:val="00F8075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5E5E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69696"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69696"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69696"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69696"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ACAC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ACACA" w:themeFill="accent3" w:themeFillTint="7F"/>
      </w:tcPr>
    </w:tblStylePr>
  </w:style>
  <w:style w:type="table" w:styleId="MediumGrid3-Accent4">
    <w:name w:val="Medium Grid 3 Accent 4"/>
    <w:basedOn w:val="TableNormal"/>
    <w:uiPriority w:val="69"/>
    <w:locked/>
    <w:rsid w:val="00F8075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FDF"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808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808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808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808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FB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FBF" w:themeFill="accent4" w:themeFillTint="7F"/>
      </w:tcPr>
    </w:tblStylePr>
  </w:style>
  <w:style w:type="table" w:styleId="MediumGrid3-Accent5">
    <w:name w:val="Medium Grid 3 Accent 5"/>
    <w:basedOn w:val="TableNormal"/>
    <w:uiPriority w:val="69"/>
    <w:locked/>
    <w:rsid w:val="00F8075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7D7D7"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F5F5F"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F5F5F"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F5F5F"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F5F5F"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FAFAF"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FAFAF" w:themeFill="accent5" w:themeFillTint="7F"/>
      </w:tcPr>
    </w:tblStylePr>
  </w:style>
  <w:style w:type="table" w:styleId="MediumGrid3-Accent6">
    <w:name w:val="Medium Grid 3 Accent 6"/>
    <w:basedOn w:val="TableNormal"/>
    <w:uiPriority w:val="69"/>
    <w:locked/>
    <w:rsid w:val="00F8075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3D3"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D4D4D"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D4D4D"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D4D4D"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D4D4D"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6A6A6"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6A6A6" w:themeFill="accent6" w:themeFillTint="7F"/>
      </w:tcPr>
    </w:tblStylePr>
  </w:style>
  <w:style w:type="table" w:styleId="MediumList1">
    <w:name w:val="Medium List 1"/>
    <w:basedOn w:val="TableNormal"/>
    <w:uiPriority w:val="65"/>
    <w:locked/>
    <w:rsid w:val="00F80750"/>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0000"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locked/>
    <w:rsid w:val="00F80750"/>
    <w:pPr>
      <w:spacing w:after="0" w:line="240" w:lineRule="auto"/>
    </w:pPr>
    <w:rPr>
      <w:color w:val="000000" w:themeColor="text1"/>
    </w:rPr>
    <w:tblPr>
      <w:tblStyleRowBandSize w:val="1"/>
      <w:tblStyleColBandSize w:val="1"/>
      <w:tblBorders>
        <w:top w:val="single" w:sz="8" w:space="0" w:color="DDDDDD" w:themeColor="accent1"/>
        <w:bottom w:val="single" w:sz="8" w:space="0" w:color="DDDDDD" w:themeColor="accent1"/>
      </w:tblBorders>
    </w:tblPr>
    <w:tblStylePr w:type="firstRow">
      <w:rPr>
        <w:rFonts w:asciiTheme="majorHAnsi" w:eastAsiaTheme="majorEastAsia" w:hAnsiTheme="majorHAnsi" w:cstheme="majorBidi"/>
      </w:rPr>
      <w:tblPr/>
      <w:tcPr>
        <w:tcBorders>
          <w:top w:val="nil"/>
          <w:bottom w:val="single" w:sz="8" w:space="0" w:color="DDDDDD" w:themeColor="accent1"/>
        </w:tcBorders>
      </w:tcPr>
    </w:tblStylePr>
    <w:tblStylePr w:type="lastRow">
      <w:rPr>
        <w:b/>
        <w:bCs/>
        <w:color w:val="000000" w:themeColor="text2"/>
      </w:rPr>
      <w:tblPr/>
      <w:tcPr>
        <w:tcBorders>
          <w:top w:val="single" w:sz="8" w:space="0" w:color="DDDDDD" w:themeColor="accent1"/>
          <w:bottom w:val="single" w:sz="8" w:space="0" w:color="DDDDDD" w:themeColor="accent1"/>
        </w:tcBorders>
      </w:tcPr>
    </w:tblStylePr>
    <w:tblStylePr w:type="firstCol">
      <w:rPr>
        <w:b/>
        <w:bCs/>
      </w:rPr>
    </w:tblStylePr>
    <w:tblStylePr w:type="lastCol">
      <w:rPr>
        <w:b/>
        <w:bCs/>
      </w:rPr>
      <w:tblPr/>
      <w:tcPr>
        <w:tcBorders>
          <w:top w:val="single" w:sz="8" w:space="0" w:color="DDDDDD" w:themeColor="accent1"/>
          <w:bottom w:val="single" w:sz="8" w:space="0" w:color="DDDDDD" w:themeColor="accent1"/>
        </w:tcBorders>
      </w:tcPr>
    </w:tblStylePr>
    <w:tblStylePr w:type="band1Vert">
      <w:tblPr/>
      <w:tcPr>
        <w:shd w:val="clear" w:color="auto" w:fill="F6F6F6" w:themeFill="accent1" w:themeFillTint="3F"/>
      </w:tcPr>
    </w:tblStylePr>
    <w:tblStylePr w:type="band1Horz">
      <w:tblPr/>
      <w:tcPr>
        <w:shd w:val="clear" w:color="auto" w:fill="F6F6F6" w:themeFill="accent1" w:themeFillTint="3F"/>
      </w:tcPr>
    </w:tblStylePr>
  </w:style>
  <w:style w:type="table" w:styleId="MediumList1-Accent2">
    <w:name w:val="Medium List 1 Accent 2"/>
    <w:basedOn w:val="TableNormal"/>
    <w:uiPriority w:val="65"/>
    <w:locked/>
    <w:rsid w:val="00F80750"/>
    <w:pPr>
      <w:spacing w:after="0" w:line="240" w:lineRule="auto"/>
    </w:pPr>
    <w:rPr>
      <w:color w:val="000000" w:themeColor="text1"/>
    </w:rPr>
    <w:tblPr>
      <w:tblStyleRowBandSize w:val="1"/>
      <w:tblStyleColBandSize w:val="1"/>
      <w:tblBorders>
        <w:top w:val="single" w:sz="8" w:space="0" w:color="B2B2B2" w:themeColor="accent2"/>
        <w:bottom w:val="single" w:sz="8" w:space="0" w:color="B2B2B2" w:themeColor="accent2"/>
      </w:tblBorders>
    </w:tblPr>
    <w:tblStylePr w:type="firstRow">
      <w:rPr>
        <w:rFonts w:asciiTheme="majorHAnsi" w:eastAsiaTheme="majorEastAsia" w:hAnsiTheme="majorHAnsi" w:cstheme="majorBidi"/>
      </w:rPr>
      <w:tblPr/>
      <w:tcPr>
        <w:tcBorders>
          <w:top w:val="nil"/>
          <w:bottom w:val="single" w:sz="8" w:space="0" w:color="B2B2B2" w:themeColor="accent2"/>
        </w:tcBorders>
      </w:tcPr>
    </w:tblStylePr>
    <w:tblStylePr w:type="lastRow">
      <w:rPr>
        <w:b/>
        <w:bCs/>
        <w:color w:val="000000" w:themeColor="text2"/>
      </w:rPr>
      <w:tblPr/>
      <w:tcPr>
        <w:tcBorders>
          <w:top w:val="single" w:sz="8" w:space="0" w:color="B2B2B2" w:themeColor="accent2"/>
          <w:bottom w:val="single" w:sz="8" w:space="0" w:color="B2B2B2" w:themeColor="accent2"/>
        </w:tcBorders>
      </w:tcPr>
    </w:tblStylePr>
    <w:tblStylePr w:type="firstCol">
      <w:rPr>
        <w:b/>
        <w:bCs/>
      </w:rPr>
    </w:tblStylePr>
    <w:tblStylePr w:type="lastCol">
      <w:rPr>
        <w:b/>
        <w:bCs/>
      </w:rPr>
      <w:tblPr/>
      <w:tcPr>
        <w:tcBorders>
          <w:top w:val="single" w:sz="8" w:space="0" w:color="B2B2B2" w:themeColor="accent2"/>
          <w:bottom w:val="single" w:sz="8" w:space="0" w:color="B2B2B2" w:themeColor="accent2"/>
        </w:tcBorders>
      </w:tcPr>
    </w:tblStylePr>
    <w:tblStylePr w:type="band1Vert">
      <w:tblPr/>
      <w:tcPr>
        <w:shd w:val="clear" w:color="auto" w:fill="EBEBEB" w:themeFill="accent2" w:themeFillTint="3F"/>
      </w:tcPr>
    </w:tblStylePr>
    <w:tblStylePr w:type="band1Horz">
      <w:tblPr/>
      <w:tcPr>
        <w:shd w:val="clear" w:color="auto" w:fill="EBEBEB" w:themeFill="accent2" w:themeFillTint="3F"/>
      </w:tcPr>
    </w:tblStylePr>
  </w:style>
  <w:style w:type="table" w:styleId="MediumList1-Accent3">
    <w:name w:val="Medium List 1 Accent 3"/>
    <w:basedOn w:val="TableNormal"/>
    <w:uiPriority w:val="65"/>
    <w:locked/>
    <w:rsid w:val="00F80750"/>
    <w:pPr>
      <w:spacing w:after="0" w:line="240" w:lineRule="auto"/>
    </w:pPr>
    <w:rPr>
      <w:color w:val="000000" w:themeColor="text1"/>
    </w:rPr>
    <w:tblPr>
      <w:tblStyleRowBandSize w:val="1"/>
      <w:tblStyleColBandSize w:val="1"/>
      <w:tblBorders>
        <w:top w:val="single" w:sz="8" w:space="0" w:color="969696" w:themeColor="accent3"/>
        <w:bottom w:val="single" w:sz="8" w:space="0" w:color="969696" w:themeColor="accent3"/>
      </w:tblBorders>
    </w:tblPr>
    <w:tblStylePr w:type="firstRow">
      <w:rPr>
        <w:rFonts w:asciiTheme="majorHAnsi" w:eastAsiaTheme="majorEastAsia" w:hAnsiTheme="majorHAnsi" w:cstheme="majorBidi"/>
      </w:rPr>
      <w:tblPr/>
      <w:tcPr>
        <w:tcBorders>
          <w:top w:val="nil"/>
          <w:bottom w:val="single" w:sz="8" w:space="0" w:color="969696" w:themeColor="accent3"/>
        </w:tcBorders>
      </w:tcPr>
    </w:tblStylePr>
    <w:tblStylePr w:type="lastRow">
      <w:rPr>
        <w:b/>
        <w:bCs/>
        <w:color w:val="000000" w:themeColor="text2"/>
      </w:rPr>
      <w:tblPr/>
      <w:tcPr>
        <w:tcBorders>
          <w:top w:val="single" w:sz="8" w:space="0" w:color="969696" w:themeColor="accent3"/>
          <w:bottom w:val="single" w:sz="8" w:space="0" w:color="969696" w:themeColor="accent3"/>
        </w:tcBorders>
      </w:tcPr>
    </w:tblStylePr>
    <w:tblStylePr w:type="firstCol">
      <w:rPr>
        <w:b/>
        <w:bCs/>
      </w:rPr>
    </w:tblStylePr>
    <w:tblStylePr w:type="lastCol">
      <w:rPr>
        <w:b/>
        <w:bCs/>
      </w:rPr>
      <w:tblPr/>
      <w:tcPr>
        <w:tcBorders>
          <w:top w:val="single" w:sz="8" w:space="0" w:color="969696" w:themeColor="accent3"/>
          <w:bottom w:val="single" w:sz="8" w:space="0" w:color="969696" w:themeColor="accent3"/>
        </w:tcBorders>
      </w:tcPr>
    </w:tblStylePr>
    <w:tblStylePr w:type="band1Vert">
      <w:tblPr/>
      <w:tcPr>
        <w:shd w:val="clear" w:color="auto" w:fill="E5E5E5" w:themeFill="accent3" w:themeFillTint="3F"/>
      </w:tcPr>
    </w:tblStylePr>
    <w:tblStylePr w:type="band1Horz">
      <w:tblPr/>
      <w:tcPr>
        <w:shd w:val="clear" w:color="auto" w:fill="E5E5E5" w:themeFill="accent3" w:themeFillTint="3F"/>
      </w:tcPr>
    </w:tblStylePr>
  </w:style>
  <w:style w:type="table" w:styleId="MediumList1-Accent4">
    <w:name w:val="Medium List 1 Accent 4"/>
    <w:basedOn w:val="TableNormal"/>
    <w:uiPriority w:val="65"/>
    <w:locked/>
    <w:rsid w:val="00F80750"/>
    <w:pPr>
      <w:spacing w:after="0" w:line="240" w:lineRule="auto"/>
    </w:pPr>
    <w:rPr>
      <w:color w:val="000000" w:themeColor="text1"/>
    </w:rPr>
    <w:tblPr>
      <w:tblStyleRowBandSize w:val="1"/>
      <w:tblStyleColBandSize w:val="1"/>
      <w:tblBorders>
        <w:top w:val="single" w:sz="8" w:space="0" w:color="808080" w:themeColor="accent4"/>
        <w:bottom w:val="single" w:sz="8" w:space="0" w:color="808080" w:themeColor="accent4"/>
      </w:tblBorders>
    </w:tblPr>
    <w:tblStylePr w:type="firstRow">
      <w:rPr>
        <w:rFonts w:asciiTheme="majorHAnsi" w:eastAsiaTheme="majorEastAsia" w:hAnsiTheme="majorHAnsi" w:cstheme="majorBidi"/>
      </w:rPr>
      <w:tblPr/>
      <w:tcPr>
        <w:tcBorders>
          <w:top w:val="nil"/>
          <w:bottom w:val="single" w:sz="8" w:space="0" w:color="808080" w:themeColor="accent4"/>
        </w:tcBorders>
      </w:tcPr>
    </w:tblStylePr>
    <w:tblStylePr w:type="lastRow">
      <w:rPr>
        <w:b/>
        <w:bCs/>
        <w:color w:val="000000" w:themeColor="text2"/>
      </w:rPr>
      <w:tblPr/>
      <w:tcPr>
        <w:tcBorders>
          <w:top w:val="single" w:sz="8" w:space="0" w:color="808080" w:themeColor="accent4"/>
          <w:bottom w:val="single" w:sz="8" w:space="0" w:color="808080" w:themeColor="accent4"/>
        </w:tcBorders>
      </w:tcPr>
    </w:tblStylePr>
    <w:tblStylePr w:type="firstCol">
      <w:rPr>
        <w:b/>
        <w:bCs/>
      </w:rPr>
    </w:tblStylePr>
    <w:tblStylePr w:type="lastCol">
      <w:rPr>
        <w:b/>
        <w:bCs/>
      </w:rPr>
      <w:tblPr/>
      <w:tcPr>
        <w:tcBorders>
          <w:top w:val="single" w:sz="8" w:space="0" w:color="808080" w:themeColor="accent4"/>
          <w:bottom w:val="single" w:sz="8" w:space="0" w:color="808080" w:themeColor="accent4"/>
        </w:tcBorders>
      </w:tcPr>
    </w:tblStylePr>
    <w:tblStylePr w:type="band1Vert">
      <w:tblPr/>
      <w:tcPr>
        <w:shd w:val="clear" w:color="auto" w:fill="DFDFDF" w:themeFill="accent4" w:themeFillTint="3F"/>
      </w:tcPr>
    </w:tblStylePr>
    <w:tblStylePr w:type="band1Horz">
      <w:tblPr/>
      <w:tcPr>
        <w:shd w:val="clear" w:color="auto" w:fill="DFDFDF" w:themeFill="accent4" w:themeFillTint="3F"/>
      </w:tcPr>
    </w:tblStylePr>
  </w:style>
  <w:style w:type="table" w:styleId="MediumList1-Accent5">
    <w:name w:val="Medium List 1 Accent 5"/>
    <w:basedOn w:val="TableNormal"/>
    <w:uiPriority w:val="65"/>
    <w:locked/>
    <w:rsid w:val="00F80750"/>
    <w:pPr>
      <w:spacing w:after="0" w:line="240" w:lineRule="auto"/>
    </w:pPr>
    <w:rPr>
      <w:color w:val="000000" w:themeColor="text1"/>
    </w:rPr>
    <w:tblPr>
      <w:tblStyleRowBandSize w:val="1"/>
      <w:tblStyleColBandSize w:val="1"/>
      <w:tblBorders>
        <w:top w:val="single" w:sz="8" w:space="0" w:color="5F5F5F" w:themeColor="accent5"/>
        <w:bottom w:val="single" w:sz="8" w:space="0" w:color="5F5F5F" w:themeColor="accent5"/>
      </w:tblBorders>
    </w:tblPr>
    <w:tblStylePr w:type="firstRow">
      <w:rPr>
        <w:rFonts w:asciiTheme="majorHAnsi" w:eastAsiaTheme="majorEastAsia" w:hAnsiTheme="majorHAnsi" w:cstheme="majorBidi"/>
      </w:rPr>
      <w:tblPr/>
      <w:tcPr>
        <w:tcBorders>
          <w:top w:val="nil"/>
          <w:bottom w:val="single" w:sz="8" w:space="0" w:color="5F5F5F" w:themeColor="accent5"/>
        </w:tcBorders>
      </w:tcPr>
    </w:tblStylePr>
    <w:tblStylePr w:type="lastRow">
      <w:rPr>
        <w:b/>
        <w:bCs/>
        <w:color w:val="000000" w:themeColor="text2"/>
      </w:rPr>
      <w:tblPr/>
      <w:tcPr>
        <w:tcBorders>
          <w:top w:val="single" w:sz="8" w:space="0" w:color="5F5F5F" w:themeColor="accent5"/>
          <w:bottom w:val="single" w:sz="8" w:space="0" w:color="5F5F5F" w:themeColor="accent5"/>
        </w:tcBorders>
      </w:tcPr>
    </w:tblStylePr>
    <w:tblStylePr w:type="firstCol">
      <w:rPr>
        <w:b/>
        <w:bCs/>
      </w:rPr>
    </w:tblStylePr>
    <w:tblStylePr w:type="lastCol">
      <w:rPr>
        <w:b/>
        <w:bCs/>
      </w:rPr>
      <w:tblPr/>
      <w:tcPr>
        <w:tcBorders>
          <w:top w:val="single" w:sz="8" w:space="0" w:color="5F5F5F" w:themeColor="accent5"/>
          <w:bottom w:val="single" w:sz="8" w:space="0" w:color="5F5F5F" w:themeColor="accent5"/>
        </w:tcBorders>
      </w:tcPr>
    </w:tblStylePr>
    <w:tblStylePr w:type="band1Vert">
      <w:tblPr/>
      <w:tcPr>
        <w:shd w:val="clear" w:color="auto" w:fill="D7D7D7" w:themeFill="accent5" w:themeFillTint="3F"/>
      </w:tcPr>
    </w:tblStylePr>
    <w:tblStylePr w:type="band1Horz">
      <w:tblPr/>
      <w:tcPr>
        <w:shd w:val="clear" w:color="auto" w:fill="D7D7D7" w:themeFill="accent5" w:themeFillTint="3F"/>
      </w:tcPr>
    </w:tblStylePr>
  </w:style>
  <w:style w:type="table" w:styleId="MediumList1-Accent6">
    <w:name w:val="Medium List 1 Accent 6"/>
    <w:basedOn w:val="TableNormal"/>
    <w:uiPriority w:val="65"/>
    <w:locked/>
    <w:rsid w:val="00F80750"/>
    <w:pPr>
      <w:spacing w:after="0" w:line="240" w:lineRule="auto"/>
    </w:pPr>
    <w:rPr>
      <w:color w:val="000000" w:themeColor="text1"/>
    </w:rPr>
    <w:tblPr>
      <w:tblStyleRowBandSize w:val="1"/>
      <w:tblStyleColBandSize w:val="1"/>
      <w:tblBorders>
        <w:top w:val="single" w:sz="8" w:space="0" w:color="4D4D4D" w:themeColor="accent6"/>
        <w:bottom w:val="single" w:sz="8" w:space="0" w:color="4D4D4D" w:themeColor="accent6"/>
      </w:tblBorders>
    </w:tblPr>
    <w:tblStylePr w:type="firstRow">
      <w:rPr>
        <w:rFonts w:asciiTheme="majorHAnsi" w:eastAsiaTheme="majorEastAsia" w:hAnsiTheme="majorHAnsi" w:cstheme="majorBidi"/>
      </w:rPr>
      <w:tblPr/>
      <w:tcPr>
        <w:tcBorders>
          <w:top w:val="nil"/>
          <w:bottom w:val="single" w:sz="8" w:space="0" w:color="4D4D4D" w:themeColor="accent6"/>
        </w:tcBorders>
      </w:tcPr>
    </w:tblStylePr>
    <w:tblStylePr w:type="lastRow">
      <w:rPr>
        <w:b/>
        <w:bCs/>
        <w:color w:val="000000" w:themeColor="text2"/>
      </w:rPr>
      <w:tblPr/>
      <w:tcPr>
        <w:tcBorders>
          <w:top w:val="single" w:sz="8" w:space="0" w:color="4D4D4D" w:themeColor="accent6"/>
          <w:bottom w:val="single" w:sz="8" w:space="0" w:color="4D4D4D" w:themeColor="accent6"/>
        </w:tcBorders>
      </w:tcPr>
    </w:tblStylePr>
    <w:tblStylePr w:type="firstCol">
      <w:rPr>
        <w:b/>
        <w:bCs/>
      </w:rPr>
    </w:tblStylePr>
    <w:tblStylePr w:type="lastCol">
      <w:rPr>
        <w:b/>
        <w:bCs/>
      </w:rPr>
      <w:tblPr/>
      <w:tcPr>
        <w:tcBorders>
          <w:top w:val="single" w:sz="8" w:space="0" w:color="4D4D4D" w:themeColor="accent6"/>
          <w:bottom w:val="single" w:sz="8" w:space="0" w:color="4D4D4D" w:themeColor="accent6"/>
        </w:tcBorders>
      </w:tcPr>
    </w:tblStylePr>
    <w:tblStylePr w:type="band1Vert">
      <w:tblPr/>
      <w:tcPr>
        <w:shd w:val="clear" w:color="auto" w:fill="D3D3D3" w:themeFill="accent6" w:themeFillTint="3F"/>
      </w:tcPr>
    </w:tblStylePr>
    <w:tblStylePr w:type="band1Horz">
      <w:tblPr/>
      <w:tcPr>
        <w:shd w:val="clear" w:color="auto" w:fill="D3D3D3" w:themeFill="accent6" w:themeFillTint="3F"/>
      </w:tcPr>
    </w:tblStylePr>
  </w:style>
  <w:style w:type="table" w:styleId="MediumList2">
    <w:name w:val="Medium List 2"/>
    <w:basedOn w:val="TableNormal"/>
    <w:uiPriority w:val="66"/>
    <w:locked/>
    <w:rsid w:val="00F8075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locked/>
    <w:rsid w:val="00F8075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DDDDDD" w:themeColor="accent1"/>
        <w:left w:val="single" w:sz="8" w:space="0" w:color="DDDDDD" w:themeColor="accent1"/>
        <w:bottom w:val="single" w:sz="8" w:space="0" w:color="DDDDDD" w:themeColor="accent1"/>
        <w:right w:val="single" w:sz="8" w:space="0" w:color="DDDDDD" w:themeColor="accent1"/>
      </w:tblBorders>
    </w:tblPr>
    <w:tblStylePr w:type="firstRow">
      <w:rPr>
        <w:sz w:val="24"/>
        <w:szCs w:val="24"/>
      </w:rPr>
      <w:tblPr/>
      <w:tcPr>
        <w:tcBorders>
          <w:top w:val="nil"/>
          <w:left w:val="nil"/>
          <w:bottom w:val="single" w:sz="24" w:space="0" w:color="DDDDDD" w:themeColor="accent1"/>
          <w:right w:val="nil"/>
          <w:insideH w:val="nil"/>
          <w:insideV w:val="nil"/>
        </w:tcBorders>
        <w:shd w:val="clear" w:color="auto" w:fill="FFFFFF" w:themeFill="background1"/>
      </w:tcPr>
    </w:tblStylePr>
    <w:tblStylePr w:type="lastRow">
      <w:tblPr/>
      <w:tcPr>
        <w:tcBorders>
          <w:top w:val="single" w:sz="8" w:space="0" w:color="DDDDD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DDDDDD" w:themeColor="accent1"/>
          <w:insideH w:val="nil"/>
          <w:insideV w:val="nil"/>
        </w:tcBorders>
        <w:shd w:val="clear" w:color="auto" w:fill="FFFFFF" w:themeFill="background1"/>
      </w:tcPr>
    </w:tblStylePr>
    <w:tblStylePr w:type="lastCol">
      <w:tblPr/>
      <w:tcPr>
        <w:tcBorders>
          <w:top w:val="nil"/>
          <w:left w:val="single" w:sz="8" w:space="0" w:color="DDDDD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6F6F6" w:themeFill="accent1" w:themeFillTint="3F"/>
      </w:tcPr>
    </w:tblStylePr>
    <w:tblStylePr w:type="band1Horz">
      <w:tblPr/>
      <w:tcPr>
        <w:tcBorders>
          <w:top w:val="nil"/>
          <w:bottom w:val="nil"/>
          <w:insideH w:val="nil"/>
          <w:insideV w:val="nil"/>
        </w:tcBorders>
        <w:shd w:val="clear" w:color="auto" w:fill="F6F6F6"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locked/>
    <w:rsid w:val="00F8075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2B2B2" w:themeColor="accent2"/>
        <w:left w:val="single" w:sz="8" w:space="0" w:color="B2B2B2" w:themeColor="accent2"/>
        <w:bottom w:val="single" w:sz="8" w:space="0" w:color="B2B2B2" w:themeColor="accent2"/>
        <w:right w:val="single" w:sz="8" w:space="0" w:color="B2B2B2" w:themeColor="accent2"/>
      </w:tblBorders>
    </w:tblPr>
    <w:tblStylePr w:type="firstRow">
      <w:rPr>
        <w:sz w:val="24"/>
        <w:szCs w:val="24"/>
      </w:rPr>
      <w:tblPr/>
      <w:tcPr>
        <w:tcBorders>
          <w:top w:val="nil"/>
          <w:left w:val="nil"/>
          <w:bottom w:val="single" w:sz="24" w:space="0" w:color="B2B2B2" w:themeColor="accent2"/>
          <w:right w:val="nil"/>
          <w:insideH w:val="nil"/>
          <w:insideV w:val="nil"/>
        </w:tcBorders>
        <w:shd w:val="clear" w:color="auto" w:fill="FFFFFF" w:themeFill="background1"/>
      </w:tcPr>
    </w:tblStylePr>
    <w:tblStylePr w:type="lastRow">
      <w:tblPr/>
      <w:tcPr>
        <w:tcBorders>
          <w:top w:val="single" w:sz="8" w:space="0" w:color="B2B2B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2B2B2" w:themeColor="accent2"/>
          <w:insideH w:val="nil"/>
          <w:insideV w:val="nil"/>
        </w:tcBorders>
        <w:shd w:val="clear" w:color="auto" w:fill="FFFFFF" w:themeFill="background1"/>
      </w:tcPr>
    </w:tblStylePr>
    <w:tblStylePr w:type="lastCol">
      <w:tblPr/>
      <w:tcPr>
        <w:tcBorders>
          <w:top w:val="nil"/>
          <w:left w:val="single" w:sz="8" w:space="0" w:color="B2B2B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EBEB" w:themeFill="accent2" w:themeFillTint="3F"/>
      </w:tcPr>
    </w:tblStylePr>
    <w:tblStylePr w:type="band1Horz">
      <w:tblPr/>
      <w:tcPr>
        <w:tcBorders>
          <w:top w:val="nil"/>
          <w:bottom w:val="nil"/>
          <w:insideH w:val="nil"/>
          <w:insideV w:val="nil"/>
        </w:tcBorders>
        <w:shd w:val="clear" w:color="auto" w:fill="EBEB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locked/>
    <w:rsid w:val="00F8075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69696" w:themeColor="accent3"/>
        <w:left w:val="single" w:sz="8" w:space="0" w:color="969696" w:themeColor="accent3"/>
        <w:bottom w:val="single" w:sz="8" w:space="0" w:color="969696" w:themeColor="accent3"/>
        <w:right w:val="single" w:sz="8" w:space="0" w:color="969696" w:themeColor="accent3"/>
      </w:tblBorders>
    </w:tblPr>
    <w:tblStylePr w:type="firstRow">
      <w:rPr>
        <w:sz w:val="24"/>
        <w:szCs w:val="24"/>
      </w:rPr>
      <w:tblPr/>
      <w:tcPr>
        <w:tcBorders>
          <w:top w:val="nil"/>
          <w:left w:val="nil"/>
          <w:bottom w:val="single" w:sz="24" w:space="0" w:color="969696" w:themeColor="accent3"/>
          <w:right w:val="nil"/>
          <w:insideH w:val="nil"/>
          <w:insideV w:val="nil"/>
        </w:tcBorders>
        <w:shd w:val="clear" w:color="auto" w:fill="FFFFFF" w:themeFill="background1"/>
      </w:tcPr>
    </w:tblStylePr>
    <w:tblStylePr w:type="lastRow">
      <w:tblPr/>
      <w:tcPr>
        <w:tcBorders>
          <w:top w:val="single" w:sz="8" w:space="0" w:color="969696"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69696" w:themeColor="accent3"/>
          <w:insideH w:val="nil"/>
          <w:insideV w:val="nil"/>
        </w:tcBorders>
        <w:shd w:val="clear" w:color="auto" w:fill="FFFFFF" w:themeFill="background1"/>
      </w:tcPr>
    </w:tblStylePr>
    <w:tblStylePr w:type="lastCol">
      <w:tblPr/>
      <w:tcPr>
        <w:tcBorders>
          <w:top w:val="nil"/>
          <w:left w:val="single" w:sz="8" w:space="0" w:color="969696"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5E5E5" w:themeFill="accent3" w:themeFillTint="3F"/>
      </w:tcPr>
    </w:tblStylePr>
    <w:tblStylePr w:type="band1Horz">
      <w:tblPr/>
      <w:tcPr>
        <w:tcBorders>
          <w:top w:val="nil"/>
          <w:bottom w:val="nil"/>
          <w:insideH w:val="nil"/>
          <w:insideV w:val="nil"/>
        </w:tcBorders>
        <w:shd w:val="clear" w:color="auto" w:fill="E5E5E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locked/>
    <w:rsid w:val="00F8075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8080" w:themeColor="accent4"/>
        <w:left w:val="single" w:sz="8" w:space="0" w:color="808080" w:themeColor="accent4"/>
        <w:bottom w:val="single" w:sz="8" w:space="0" w:color="808080" w:themeColor="accent4"/>
        <w:right w:val="single" w:sz="8" w:space="0" w:color="808080" w:themeColor="accent4"/>
      </w:tblBorders>
    </w:tblPr>
    <w:tblStylePr w:type="firstRow">
      <w:rPr>
        <w:sz w:val="24"/>
        <w:szCs w:val="24"/>
      </w:rPr>
      <w:tblPr/>
      <w:tcPr>
        <w:tcBorders>
          <w:top w:val="nil"/>
          <w:left w:val="nil"/>
          <w:bottom w:val="single" w:sz="24" w:space="0" w:color="808080" w:themeColor="accent4"/>
          <w:right w:val="nil"/>
          <w:insideH w:val="nil"/>
          <w:insideV w:val="nil"/>
        </w:tcBorders>
        <w:shd w:val="clear" w:color="auto" w:fill="FFFFFF" w:themeFill="background1"/>
      </w:tcPr>
    </w:tblStylePr>
    <w:tblStylePr w:type="lastRow">
      <w:tblPr/>
      <w:tcPr>
        <w:tcBorders>
          <w:top w:val="single" w:sz="8" w:space="0" w:color="80808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8080" w:themeColor="accent4"/>
          <w:insideH w:val="nil"/>
          <w:insideV w:val="nil"/>
        </w:tcBorders>
        <w:shd w:val="clear" w:color="auto" w:fill="FFFFFF" w:themeFill="background1"/>
      </w:tcPr>
    </w:tblStylePr>
    <w:tblStylePr w:type="lastCol">
      <w:tblPr/>
      <w:tcPr>
        <w:tcBorders>
          <w:top w:val="nil"/>
          <w:left w:val="single" w:sz="8" w:space="0" w:color="80808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FDF" w:themeFill="accent4" w:themeFillTint="3F"/>
      </w:tcPr>
    </w:tblStylePr>
    <w:tblStylePr w:type="band1Horz">
      <w:tblPr/>
      <w:tcPr>
        <w:tcBorders>
          <w:top w:val="nil"/>
          <w:bottom w:val="nil"/>
          <w:insideH w:val="nil"/>
          <w:insideV w:val="nil"/>
        </w:tcBorders>
        <w:shd w:val="clear" w:color="auto" w:fill="DFDFDF"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locked/>
    <w:rsid w:val="00F8075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tblBorders>
    </w:tblPr>
    <w:tblStylePr w:type="firstRow">
      <w:rPr>
        <w:sz w:val="24"/>
        <w:szCs w:val="24"/>
      </w:rPr>
      <w:tblPr/>
      <w:tcPr>
        <w:tcBorders>
          <w:top w:val="nil"/>
          <w:left w:val="nil"/>
          <w:bottom w:val="single" w:sz="24" w:space="0" w:color="5F5F5F" w:themeColor="accent5"/>
          <w:right w:val="nil"/>
          <w:insideH w:val="nil"/>
          <w:insideV w:val="nil"/>
        </w:tcBorders>
        <w:shd w:val="clear" w:color="auto" w:fill="FFFFFF" w:themeFill="background1"/>
      </w:tcPr>
    </w:tblStylePr>
    <w:tblStylePr w:type="lastRow">
      <w:tblPr/>
      <w:tcPr>
        <w:tcBorders>
          <w:top w:val="single" w:sz="8" w:space="0" w:color="5F5F5F"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F5F5F" w:themeColor="accent5"/>
          <w:insideH w:val="nil"/>
          <w:insideV w:val="nil"/>
        </w:tcBorders>
        <w:shd w:val="clear" w:color="auto" w:fill="FFFFFF" w:themeFill="background1"/>
      </w:tcPr>
    </w:tblStylePr>
    <w:tblStylePr w:type="lastCol">
      <w:tblPr/>
      <w:tcPr>
        <w:tcBorders>
          <w:top w:val="nil"/>
          <w:left w:val="single" w:sz="8" w:space="0" w:color="5F5F5F"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7D7D7" w:themeFill="accent5" w:themeFillTint="3F"/>
      </w:tcPr>
    </w:tblStylePr>
    <w:tblStylePr w:type="band1Horz">
      <w:tblPr/>
      <w:tcPr>
        <w:tcBorders>
          <w:top w:val="nil"/>
          <w:bottom w:val="nil"/>
          <w:insideH w:val="nil"/>
          <w:insideV w:val="nil"/>
        </w:tcBorders>
        <w:shd w:val="clear" w:color="auto" w:fill="D7D7D7"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locked/>
    <w:rsid w:val="00F8075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tblBorders>
    </w:tblPr>
    <w:tblStylePr w:type="firstRow">
      <w:rPr>
        <w:sz w:val="24"/>
        <w:szCs w:val="24"/>
      </w:rPr>
      <w:tblPr/>
      <w:tcPr>
        <w:tcBorders>
          <w:top w:val="nil"/>
          <w:left w:val="nil"/>
          <w:bottom w:val="single" w:sz="24" w:space="0" w:color="4D4D4D" w:themeColor="accent6"/>
          <w:right w:val="nil"/>
          <w:insideH w:val="nil"/>
          <w:insideV w:val="nil"/>
        </w:tcBorders>
        <w:shd w:val="clear" w:color="auto" w:fill="FFFFFF" w:themeFill="background1"/>
      </w:tcPr>
    </w:tblStylePr>
    <w:tblStylePr w:type="lastRow">
      <w:tblPr/>
      <w:tcPr>
        <w:tcBorders>
          <w:top w:val="single" w:sz="8" w:space="0" w:color="4D4D4D"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D4D4D" w:themeColor="accent6"/>
          <w:insideH w:val="nil"/>
          <w:insideV w:val="nil"/>
        </w:tcBorders>
        <w:shd w:val="clear" w:color="auto" w:fill="FFFFFF" w:themeFill="background1"/>
      </w:tcPr>
    </w:tblStylePr>
    <w:tblStylePr w:type="lastCol">
      <w:tblPr/>
      <w:tcPr>
        <w:tcBorders>
          <w:top w:val="nil"/>
          <w:left w:val="single" w:sz="8" w:space="0" w:color="4D4D4D"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3D3" w:themeFill="accent6" w:themeFillTint="3F"/>
      </w:tcPr>
    </w:tblStylePr>
    <w:tblStylePr w:type="band1Horz">
      <w:tblPr/>
      <w:tcPr>
        <w:tcBorders>
          <w:top w:val="nil"/>
          <w:bottom w:val="nil"/>
          <w:insideH w:val="nil"/>
          <w:insideV w:val="nil"/>
        </w:tcBorders>
        <w:shd w:val="clear" w:color="auto" w:fill="D3D3D3"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locked/>
    <w:rsid w:val="00F80750"/>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locked/>
    <w:rsid w:val="00F80750"/>
    <w:pPr>
      <w:spacing w:after="0" w:line="240" w:lineRule="auto"/>
    </w:pPr>
    <w:tblPr>
      <w:tblStyleRowBandSize w:val="1"/>
      <w:tblStyleColBandSize w:val="1"/>
      <w:tblBorders>
        <w:top w:val="single" w:sz="8" w:space="0" w:color="E5E5E5" w:themeColor="accent1" w:themeTint="BF"/>
        <w:left w:val="single" w:sz="8" w:space="0" w:color="E5E5E5" w:themeColor="accent1" w:themeTint="BF"/>
        <w:bottom w:val="single" w:sz="8" w:space="0" w:color="E5E5E5" w:themeColor="accent1" w:themeTint="BF"/>
        <w:right w:val="single" w:sz="8" w:space="0" w:color="E5E5E5" w:themeColor="accent1" w:themeTint="BF"/>
        <w:insideH w:val="single" w:sz="8" w:space="0" w:color="E5E5E5" w:themeColor="accent1" w:themeTint="BF"/>
      </w:tblBorders>
    </w:tblPr>
    <w:tblStylePr w:type="firstRow">
      <w:pPr>
        <w:spacing w:before="0" w:after="0" w:line="240" w:lineRule="auto"/>
      </w:pPr>
      <w:rPr>
        <w:b/>
        <w:bCs/>
        <w:color w:val="FFFFFF" w:themeColor="background1"/>
      </w:rPr>
      <w:tblPr/>
      <w:tcPr>
        <w:tcBorders>
          <w:top w:val="single" w:sz="8" w:space="0" w:color="E5E5E5" w:themeColor="accent1" w:themeTint="BF"/>
          <w:left w:val="single" w:sz="8" w:space="0" w:color="E5E5E5" w:themeColor="accent1" w:themeTint="BF"/>
          <w:bottom w:val="single" w:sz="8" w:space="0" w:color="E5E5E5" w:themeColor="accent1" w:themeTint="BF"/>
          <w:right w:val="single" w:sz="8" w:space="0" w:color="E5E5E5" w:themeColor="accent1" w:themeTint="BF"/>
          <w:insideH w:val="nil"/>
          <w:insideV w:val="nil"/>
        </w:tcBorders>
        <w:shd w:val="clear" w:color="auto" w:fill="DDDDDD" w:themeFill="accent1"/>
      </w:tcPr>
    </w:tblStylePr>
    <w:tblStylePr w:type="lastRow">
      <w:pPr>
        <w:spacing w:before="0" w:after="0" w:line="240" w:lineRule="auto"/>
      </w:pPr>
      <w:rPr>
        <w:b/>
        <w:bCs/>
      </w:rPr>
      <w:tblPr/>
      <w:tcPr>
        <w:tcBorders>
          <w:top w:val="double" w:sz="6" w:space="0" w:color="E5E5E5" w:themeColor="accent1" w:themeTint="BF"/>
          <w:left w:val="single" w:sz="8" w:space="0" w:color="E5E5E5" w:themeColor="accent1" w:themeTint="BF"/>
          <w:bottom w:val="single" w:sz="8" w:space="0" w:color="E5E5E5" w:themeColor="accent1" w:themeTint="BF"/>
          <w:right w:val="single" w:sz="8" w:space="0" w:color="E5E5E5" w:themeColor="accent1" w:themeTint="BF"/>
          <w:insideH w:val="nil"/>
          <w:insideV w:val="nil"/>
        </w:tcBorders>
      </w:tcPr>
    </w:tblStylePr>
    <w:tblStylePr w:type="firstCol">
      <w:rPr>
        <w:b/>
        <w:bCs/>
      </w:rPr>
    </w:tblStylePr>
    <w:tblStylePr w:type="lastCol">
      <w:rPr>
        <w:b/>
        <w:bCs/>
      </w:rPr>
    </w:tblStylePr>
    <w:tblStylePr w:type="band1Vert">
      <w:tblPr/>
      <w:tcPr>
        <w:shd w:val="clear" w:color="auto" w:fill="F6F6F6" w:themeFill="accent1" w:themeFillTint="3F"/>
      </w:tcPr>
    </w:tblStylePr>
    <w:tblStylePr w:type="band1Horz">
      <w:tblPr/>
      <w:tcPr>
        <w:tcBorders>
          <w:insideH w:val="nil"/>
          <w:insideV w:val="nil"/>
        </w:tcBorders>
        <w:shd w:val="clear" w:color="auto" w:fill="F6F6F6"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locked/>
    <w:rsid w:val="00F80750"/>
    <w:pPr>
      <w:spacing w:after="0" w:line="240" w:lineRule="auto"/>
    </w:pPr>
    <w:tblPr>
      <w:tblStyleRowBandSize w:val="1"/>
      <w:tblStyleColBandSize w:val="1"/>
      <w:tblBorders>
        <w:top w:val="single" w:sz="8" w:space="0" w:color="C5C5C5" w:themeColor="accent2" w:themeTint="BF"/>
        <w:left w:val="single" w:sz="8" w:space="0" w:color="C5C5C5" w:themeColor="accent2" w:themeTint="BF"/>
        <w:bottom w:val="single" w:sz="8" w:space="0" w:color="C5C5C5" w:themeColor="accent2" w:themeTint="BF"/>
        <w:right w:val="single" w:sz="8" w:space="0" w:color="C5C5C5" w:themeColor="accent2" w:themeTint="BF"/>
        <w:insideH w:val="single" w:sz="8" w:space="0" w:color="C5C5C5" w:themeColor="accent2" w:themeTint="BF"/>
      </w:tblBorders>
    </w:tblPr>
    <w:tblStylePr w:type="firstRow">
      <w:pPr>
        <w:spacing w:before="0" w:after="0" w:line="240" w:lineRule="auto"/>
      </w:pPr>
      <w:rPr>
        <w:b/>
        <w:bCs/>
        <w:color w:val="FFFFFF" w:themeColor="background1"/>
      </w:rPr>
      <w:tblPr/>
      <w:tcPr>
        <w:tcBorders>
          <w:top w:val="single" w:sz="8" w:space="0" w:color="C5C5C5" w:themeColor="accent2" w:themeTint="BF"/>
          <w:left w:val="single" w:sz="8" w:space="0" w:color="C5C5C5" w:themeColor="accent2" w:themeTint="BF"/>
          <w:bottom w:val="single" w:sz="8" w:space="0" w:color="C5C5C5" w:themeColor="accent2" w:themeTint="BF"/>
          <w:right w:val="single" w:sz="8" w:space="0" w:color="C5C5C5" w:themeColor="accent2" w:themeTint="BF"/>
          <w:insideH w:val="nil"/>
          <w:insideV w:val="nil"/>
        </w:tcBorders>
        <w:shd w:val="clear" w:color="auto" w:fill="B2B2B2" w:themeFill="accent2"/>
      </w:tcPr>
    </w:tblStylePr>
    <w:tblStylePr w:type="lastRow">
      <w:pPr>
        <w:spacing w:before="0" w:after="0" w:line="240" w:lineRule="auto"/>
      </w:pPr>
      <w:rPr>
        <w:b/>
        <w:bCs/>
      </w:rPr>
      <w:tblPr/>
      <w:tcPr>
        <w:tcBorders>
          <w:top w:val="double" w:sz="6" w:space="0" w:color="C5C5C5" w:themeColor="accent2" w:themeTint="BF"/>
          <w:left w:val="single" w:sz="8" w:space="0" w:color="C5C5C5" w:themeColor="accent2" w:themeTint="BF"/>
          <w:bottom w:val="single" w:sz="8" w:space="0" w:color="C5C5C5" w:themeColor="accent2" w:themeTint="BF"/>
          <w:right w:val="single" w:sz="8" w:space="0" w:color="C5C5C5" w:themeColor="accent2" w:themeTint="BF"/>
          <w:insideH w:val="nil"/>
          <w:insideV w:val="nil"/>
        </w:tcBorders>
      </w:tcPr>
    </w:tblStylePr>
    <w:tblStylePr w:type="firstCol">
      <w:rPr>
        <w:b/>
        <w:bCs/>
      </w:rPr>
    </w:tblStylePr>
    <w:tblStylePr w:type="lastCol">
      <w:rPr>
        <w:b/>
        <w:bCs/>
      </w:rPr>
    </w:tblStylePr>
    <w:tblStylePr w:type="band1Vert">
      <w:tblPr/>
      <w:tcPr>
        <w:shd w:val="clear" w:color="auto" w:fill="EBEBEB" w:themeFill="accent2" w:themeFillTint="3F"/>
      </w:tcPr>
    </w:tblStylePr>
    <w:tblStylePr w:type="band1Horz">
      <w:tblPr/>
      <w:tcPr>
        <w:tcBorders>
          <w:insideH w:val="nil"/>
          <w:insideV w:val="nil"/>
        </w:tcBorders>
        <w:shd w:val="clear" w:color="auto" w:fill="EBEB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locked/>
    <w:rsid w:val="00F80750"/>
    <w:pPr>
      <w:spacing w:after="0" w:line="240" w:lineRule="auto"/>
    </w:pPr>
    <w:tblPr>
      <w:tblStyleRowBandSize w:val="1"/>
      <w:tblStyleColBandSize w:val="1"/>
      <w:tblBorders>
        <w:top w:val="single" w:sz="8" w:space="0" w:color="B0B0B0" w:themeColor="accent3" w:themeTint="BF"/>
        <w:left w:val="single" w:sz="8" w:space="0" w:color="B0B0B0" w:themeColor="accent3" w:themeTint="BF"/>
        <w:bottom w:val="single" w:sz="8" w:space="0" w:color="B0B0B0" w:themeColor="accent3" w:themeTint="BF"/>
        <w:right w:val="single" w:sz="8" w:space="0" w:color="B0B0B0" w:themeColor="accent3" w:themeTint="BF"/>
        <w:insideH w:val="single" w:sz="8" w:space="0" w:color="B0B0B0" w:themeColor="accent3" w:themeTint="BF"/>
      </w:tblBorders>
    </w:tblPr>
    <w:tblStylePr w:type="firstRow">
      <w:pPr>
        <w:spacing w:before="0" w:after="0" w:line="240" w:lineRule="auto"/>
      </w:pPr>
      <w:rPr>
        <w:b/>
        <w:bCs/>
        <w:color w:val="FFFFFF" w:themeColor="background1"/>
      </w:rPr>
      <w:tblPr/>
      <w:tcPr>
        <w:tcBorders>
          <w:top w:val="single" w:sz="8" w:space="0" w:color="B0B0B0" w:themeColor="accent3" w:themeTint="BF"/>
          <w:left w:val="single" w:sz="8" w:space="0" w:color="B0B0B0" w:themeColor="accent3" w:themeTint="BF"/>
          <w:bottom w:val="single" w:sz="8" w:space="0" w:color="B0B0B0" w:themeColor="accent3" w:themeTint="BF"/>
          <w:right w:val="single" w:sz="8" w:space="0" w:color="B0B0B0" w:themeColor="accent3" w:themeTint="BF"/>
          <w:insideH w:val="nil"/>
          <w:insideV w:val="nil"/>
        </w:tcBorders>
        <w:shd w:val="clear" w:color="auto" w:fill="969696" w:themeFill="accent3"/>
      </w:tcPr>
    </w:tblStylePr>
    <w:tblStylePr w:type="lastRow">
      <w:pPr>
        <w:spacing w:before="0" w:after="0" w:line="240" w:lineRule="auto"/>
      </w:pPr>
      <w:rPr>
        <w:b/>
        <w:bCs/>
      </w:rPr>
      <w:tblPr/>
      <w:tcPr>
        <w:tcBorders>
          <w:top w:val="double" w:sz="6" w:space="0" w:color="B0B0B0" w:themeColor="accent3" w:themeTint="BF"/>
          <w:left w:val="single" w:sz="8" w:space="0" w:color="B0B0B0" w:themeColor="accent3" w:themeTint="BF"/>
          <w:bottom w:val="single" w:sz="8" w:space="0" w:color="B0B0B0" w:themeColor="accent3" w:themeTint="BF"/>
          <w:right w:val="single" w:sz="8" w:space="0" w:color="B0B0B0" w:themeColor="accent3" w:themeTint="BF"/>
          <w:insideH w:val="nil"/>
          <w:insideV w:val="nil"/>
        </w:tcBorders>
      </w:tcPr>
    </w:tblStylePr>
    <w:tblStylePr w:type="firstCol">
      <w:rPr>
        <w:b/>
        <w:bCs/>
      </w:rPr>
    </w:tblStylePr>
    <w:tblStylePr w:type="lastCol">
      <w:rPr>
        <w:b/>
        <w:bCs/>
      </w:rPr>
    </w:tblStylePr>
    <w:tblStylePr w:type="band1Vert">
      <w:tblPr/>
      <w:tcPr>
        <w:shd w:val="clear" w:color="auto" w:fill="E5E5E5" w:themeFill="accent3" w:themeFillTint="3F"/>
      </w:tcPr>
    </w:tblStylePr>
    <w:tblStylePr w:type="band1Horz">
      <w:tblPr/>
      <w:tcPr>
        <w:tcBorders>
          <w:insideH w:val="nil"/>
          <w:insideV w:val="nil"/>
        </w:tcBorders>
        <w:shd w:val="clear" w:color="auto" w:fill="E5E5E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locked/>
    <w:rsid w:val="00F80750"/>
    <w:pPr>
      <w:spacing w:after="0" w:line="240" w:lineRule="auto"/>
    </w:pPr>
    <w:tblPr>
      <w:tblStyleRowBandSize w:val="1"/>
      <w:tblStyleColBandSize w:val="1"/>
      <w:tblBorders>
        <w:top w:val="single" w:sz="8" w:space="0" w:color="9F9F9F" w:themeColor="accent4" w:themeTint="BF"/>
        <w:left w:val="single" w:sz="8" w:space="0" w:color="9F9F9F" w:themeColor="accent4" w:themeTint="BF"/>
        <w:bottom w:val="single" w:sz="8" w:space="0" w:color="9F9F9F" w:themeColor="accent4" w:themeTint="BF"/>
        <w:right w:val="single" w:sz="8" w:space="0" w:color="9F9F9F" w:themeColor="accent4" w:themeTint="BF"/>
        <w:insideH w:val="single" w:sz="8" w:space="0" w:color="9F9F9F" w:themeColor="accent4" w:themeTint="BF"/>
      </w:tblBorders>
    </w:tblPr>
    <w:tblStylePr w:type="firstRow">
      <w:pPr>
        <w:spacing w:before="0" w:after="0" w:line="240" w:lineRule="auto"/>
      </w:pPr>
      <w:rPr>
        <w:b/>
        <w:bCs/>
        <w:color w:val="FFFFFF" w:themeColor="background1"/>
      </w:rPr>
      <w:tblPr/>
      <w:tcPr>
        <w:tcBorders>
          <w:top w:val="single" w:sz="8" w:space="0" w:color="9F9F9F" w:themeColor="accent4" w:themeTint="BF"/>
          <w:left w:val="single" w:sz="8" w:space="0" w:color="9F9F9F" w:themeColor="accent4" w:themeTint="BF"/>
          <w:bottom w:val="single" w:sz="8" w:space="0" w:color="9F9F9F" w:themeColor="accent4" w:themeTint="BF"/>
          <w:right w:val="single" w:sz="8" w:space="0" w:color="9F9F9F" w:themeColor="accent4" w:themeTint="BF"/>
          <w:insideH w:val="nil"/>
          <w:insideV w:val="nil"/>
        </w:tcBorders>
        <w:shd w:val="clear" w:color="auto" w:fill="808080" w:themeFill="accent4"/>
      </w:tcPr>
    </w:tblStylePr>
    <w:tblStylePr w:type="lastRow">
      <w:pPr>
        <w:spacing w:before="0" w:after="0" w:line="240" w:lineRule="auto"/>
      </w:pPr>
      <w:rPr>
        <w:b/>
        <w:bCs/>
      </w:rPr>
      <w:tblPr/>
      <w:tcPr>
        <w:tcBorders>
          <w:top w:val="double" w:sz="6" w:space="0" w:color="9F9F9F" w:themeColor="accent4" w:themeTint="BF"/>
          <w:left w:val="single" w:sz="8" w:space="0" w:color="9F9F9F" w:themeColor="accent4" w:themeTint="BF"/>
          <w:bottom w:val="single" w:sz="8" w:space="0" w:color="9F9F9F" w:themeColor="accent4" w:themeTint="BF"/>
          <w:right w:val="single" w:sz="8" w:space="0" w:color="9F9F9F"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FDF" w:themeFill="accent4" w:themeFillTint="3F"/>
      </w:tcPr>
    </w:tblStylePr>
    <w:tblStylePr w:type="band1Horz">
      <w:tblPr/>
      <w:tcPr>
        <w:tcBorders>
          <w:insideH w:val="nil"/>
          <w:insideV w:val="nil"/>
        </w:tcBorders>
        <w:shd w:val="clear" w:color="auto" w:fill="DFDFDF"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locked/>
    <w:rsid w:val="00F80750"/>
    <w:pPr>
      <w:spacing w:after="0" w:line="240" w:lineRule="auto"/>
    </w:pPr>
    <w:tblPr>
      <w:tblStyleRowBandSize w:val="1"/>
      <w:tblStyleColBandSize w:val="1"/>
      <w:tbl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single" w:sz="8" w:space="0" w:color="878787" w:themeColor="accent5" w:themeTint="BF"/>
      </w:tblBorders>
    </w:tblPr>
    <w:tblStylePr w:type="firstRow">
      <w:pPr>
        <w:spacing w:before="0" w:after="0" w:line="240" w:lineRule="auto"/>
      </w:pPr>
      <w:rPr>
        <w:b/>
        <w:bCs/>
        <w:color w:val="FFFFFF" w:themeColor="background1"/>
      </w:rPr>
      <w:tblPr/>
      <w:tcPr>
        <w:tc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nil"/>
          <w:insideV w:val="nil"/>
        </w:tcBorders>
        <w:shd w:val="clear" w:color="auto" w:fill="5F5F5F" w:themeFill="accent5"/>
      </w:tcPr>
    </w:tblStylePr>
    <w:tblStylePr w:type="lastRow">
      <w:pPr>
        <w:spacing w:before="0" w:after="0" w:line="240" w:lineRule="auto"/>
      </w:pPr>
      <w:rPr>
        <w:b/>
        <w:bCs/>
      </w:rPr>
      <w:tblPr/>
      <w:tcPr>
        <w:tcBorders>
          <w:top w:val="double" w:sz="6"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nil"/>
          <w:insideV w:val="nil"/>
        </w:tcBorders>
      </w:tcPr>
    </w:tblStylePr>
    <w:tblStylePr w:type="firstCol">
      <w:rPr>
        <w:b/>
        <w:bCs/>
      </w:rPr>
    </w:tblStylePr>
    <w:tblStylePr w:type="lastCol">
      <w:rPr>
        <w:b/>
        <w:bCs/>
      </w:rPr>
    </w:tblStylePr>
    <w:tblStylePr w:type="band1Vert">
      <w:tblPr/>
      <w:tcPr>
        <w:shd w:val="clear" w:color="auto" w:fill="D7D7D7" w:themeFill="accent5" w:themeFillTint="3F"/>
      </w:tcPr>
    </w:tblStylePr>
    <w:tblStylePr w:type="band1Horz">
      <w:tblPr/>
      <w:tcPr>
        <w:tcBorders>
          <w:insideH w:val="nil"/>
          <w:insideV w:val="nil"/>
        </w:tcBorders>
        <w:shd w:val="clear" w:color="auto" w:fill="D7D7D7"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locked/>
    <w:rsid w:val="00F80750"/>
    <w:pPr>
      <w:spacing w:after="0" w:line="240" w:lineRule="auto"/>
    </w:pPr>
    <w:tblPr>
      <w:tblStyleRowBandSize w:val="1"/>
      <w:tblStyleColBandSize w:val="1"/>
      <w:tbl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single" w:sz="8" w:space="0" w:color="797979" w:themeColor="accent6" w:themeTint="BF"/>
      </w:tblBorders>
    </w:tblPr>
    <w:tblStylePr w:type="firstRow">
      <w:pPr>
        <w:spacing w:before="0" w:after="0" w:line="240" w:lineRule="auto"/>
      </w:pPr>
      <w:rPr>
        <w:b/>
        <w:bCs/>
        <w:color w:val="FFFFFF" w:themeColor="background1"/>
      </w:rPr>
      <w:tblPr/>
      <w:tcPr>
        <w:tc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nil"/>
          <w:insideV w:val="nil"/>
        </w:tcBorders>
        <w:shd w:val="clear" w:color="auto" w:fill="4D4D4D" w:themeFill="accent6"/>
      </w:tcPr>
    </w:tblStylePr>
    <w:tblStylePr w:type="lastRow">
      <w:pPr>
        <w:spacing w:before="0" w:after="0" w:line="240" w:lineRule="auto"/>
      </w:pPr>
      <w:rPr>
        <w:b/>
        <w:bCs/>
      </w:rPr>
      <w:tblPr/>
      <w:tcPr>
        <w:tcBorders>
          <w:top w:val="double" w:sz="6"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nil"/>
          <w:insideV w:val="nil"/>
        </w:tcBorders>
      </w:tcPr>
    </w:tblStylePr>
    <w:tblStylePr w:type="firstCol">
      <w:rPr>
        <w:b/>
        <w:bCs/>
      </w:rPr>
    </w:tblStylePr>
    <w:tblStylePr w:type="lastCol">
      <w:rPr>
        <w:b/>
        <w:bCs/>
      </w:rPr>
    </w:tblStylePr>
    <w:tblStylePr w:type="band1Vert">
      <w:tblPr/>
      <w:tcPr>
        <w:shd w:val="clear" w:color="auto" w:fill="D3D3D3" w:themeFill="accent6" w:themeFillTint="3F"/>
      </w:tcPr>
    </w:tblStylePr>
    <w:tblStylePr w:type="band1Horz">
      <w:tblPr/>
      <w:tcPr>
        <w:tcBorders>
          <w:insideH w:val="nil"/>
          <w:insideV w:val="nil"/>
        </w:tcBorders>
        <w:shd w:val="clear" w:color="auto" w:fill="D3D3D3"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locked/>
    <w:rsid w:val="00F8075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locked/>
    <w:rsid w:val="00F8075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DDDDD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DDDDDD" w:themeFill="accent1"/>
      </w:tcPr>
    </w:tblStylePr>
    <w:tblStylePr w:type="lastCol">
      <w:rPr>
        <w:b/>
        <w:bCs/>
        <w:color w:val="FFFFFF" w:themeColor="background1"/>
      </w:rPr>
      <w:tblPr/>
      <w:tcPr>
        <w:tcBorders>
          <w:left w:val="nil"/>
          <w:right w:val="nil"/>
          <w:insideH w:val="nil"/>
          <w:insideV w:val="nil"/>
        </w:tcBorders>
        <w:shd w:val="clear" w:color="auto" w:fill="DDDDD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locked/>
    <w:rsid w:val="00F8075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B2B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B2B2" w:themeFill="accent2"/>
      </w:tcPr>
    </w:tblStylePr>
    <w:tblStylePr w:type="lastCol">
      <w:rPr>
        <w:b/>
        <w:bCs/>
        <w:color w:val="FFFFFF" w:themeColor="background1"/>
      </w:rPr>
      <w:tblPr/>
      <w:tcPr>
        <w:tcBorders>
          <w:left w:val="nil"/>
          <w:right w:val="nil"/>
          <w:insideH w:val="nil"/>
          <w:insideV w:val="nil"/>
        </w:tcBorders>
        <w:shd w:val="clear" w:color="auto" w:fill="B2B2B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locked/>
    <w:rsid w:val="00F8075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69696"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69696" w:themeFill="accent3"/>
      </w:tcPr>
    </w:tblStylePr>
    <w:tblStylePr w:type="lastCol">
      <w:rPr>
        <w:b/>
        <w:bCs/>
        <w:color w:val="FFFFFF" w:themeColor="background1"/>
      </w:rPr>
      <w:tblPr/>
      <w:tcPr>
        <w:tcBorders>
          <w:left w:val="nil"/>
          <w:right w:val="nil"/>
          <w:insideH w:val="nil"/>
          <w:insideV w:val="nil"/>
        </w:tcBorders>
        <w:shd w:val="clear" w:color="auto" w:fill="969696"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locked/>
    <w:rsid w:val="00F8075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808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8080" w:themeFill="accent4"/>
      </w:tcPr>
    </w:tblStylePr>
    <w:tblStylePr w:type="lastCol">
      <w:rPr>
        <w:b/>
        <w:bCs/>
        <w:color w:val="FFFFFF" w:themeColor="background1"/>
      </w:rPr>
      <w:tblPr/>
      <w:tcPr>
        <w:tcBorders>
          <w:left w:val="nil"/>
          <w:right w:val="nil"/>
          <w:insideH w:val="nil"/>
          <w:insideV w:val="nil"/>
        </w:tcBorders>
        <w:shd w:val="clear" w:color="auto" w:fill="80808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locked/>
    <w:rsid w:val="00F8075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F5F5F"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F5F5F" w:themeFill="accent5"/>
      </w:tcPr>
    </w:tblStylePr>
    <w:tblStylePr w:type="lastCol">
      <w:rPr>
        <w:b/>
        <w:bCs/>
        <w:color w:val="FFFFFF" w:themeColor="background1"/>
      </w:rPr>
      <w:tblPr/>
      <w:tcPr>
        <w:tcBorders>
          <w:left w:val="nil"/>
          <w:right w:val="nil"/>
          <w:insideH w:val="nil"/>
          <w:insideV w:val="nil"/>
        </w:tcBorders>
        <w:shd w:val="clear" w:color="auto" w:fill="5F5F5F"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locked/>
    <w:rsid w:val="00F8075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D4D4D"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D4D4D" w:themeFill="accent6"/>
      </w:tcPr>
    </w:tblStylePr>
    <w:tblStylePr w:type="lastCol">
      <w:rPr>
        <w:b/>
        <w:bCs/>
        <w:color w:val="FFFFFF" w:themeColor="background1"/>
      </w:rPr>
      <w:tblPr/>
      <w:tcPr>
        <w:tcBorders>
          <w:left w:val="nil"/>
          <w:right w:val="nil"/>
          <w:insideH w:val="nil"/>
          <w:insideV w:val="nil"/>
        </w:tcBorders>
        <w:shd w:val="clear" w:color="auto" w:fill="4D4D4D"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locked/>
    <w:rsid w:val="00F80750"/>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F80750"/>
    <w:rPr>
      <w:rFonts w:asciiTheme="majorHAnsi" w:eastAsiaTheme="majorEastAsia" w:hAnsiTheme="majorHAnsi" w:cstheme="majorBidi"/>
      <w:noProof w:val="0"/>
      <w:sz w:val="24"/>
      <w:szCs w:val="24"/>
      <w:shd w:val="pct20" w:color="auto" w:fill="auto"/>
      <w:lang w:val="en-AU"/>
    </w:rPr>
  </w:style>
  <w:style w:type="paragraph" w:styleId="NoSpacing">
    <w:name w:val="No Spacing"/>
    <w:uiPriority w:val="1"/>
    <w:semiHidden/>
    <w:unhideWhenUsed/>
    <w:qFormat/>
    <w:locked/>
    <w:rsid w:val="00F80750"/>
    <w:pPr>
      <w:spacing w:after="0" w:line="240" w:lineRule="auto"/>
    </w:pPr>
  </w:style>
  <w:style w:type="paragraph" w:styleId="NormalWeb">
    <w:name w:val="Normal (Web)"/>
    <w:basedOn w:val="Normal"/>
    <w:uiPriority w:val="99"/>
    <w:semiHidden/>
    <w:unhideWhenUsed/>
    <w:locked/>
    <w:rsid w:val="00F80750"/>
    <w:rPr>
      <w:rFonts w:ascii="Times New Roman" w:hAnsi="Times New Roman" w:cs="Times New Roman"/>
      <w:sz w:val="24"/>
      <w:szCs w:val="24"/>
    </w:rPr>
  </w:style>
  <w:style w:type="paragraph" w:styleId="NormalIndent">
    <w:name w:val="Normal Indent"/>
    <w:basedOn w:val="Normal"/>
    <w:uiPriority w:val="99"/>
    <w:semiHidden/>
    <w:unhideWhenUsed/>
    <w:locked/>
    <w:rsid w:val="00F80750"/>
    <w:pPr>
      <w:ind w:left="720"/>
    </w:pPr>
  </w:style>
  <w:style w:type="paragraph" w:styleId="NoteHeading">
    <w:name w:val="Note Heading"/>
    <w:basedOn w:val="Normal"/>
    <w:next w:val="Normal"/>
    <w:link w:val="NoteHeadingChar"/>
    <w:uiPriority w:val="99"/>
    <w:semiHidden/>
    <w:unhideWhenUsed/>
    <w:locked/>
    <w:rsid w:val="00F80750"/>
    <w:pPr>
      <w:spacing w:after="0" w:line="240" w:lineRule="auto"/>
    </w:pPr>
  </w:style>
  <w:style w:type="character" w:customStyle="1" w:styleId="NoteHeadingChar">
    <w:name w:val="Note Heading Char"/>
    <w:basedOn w:val="DefaultParagraphFont"/>
    <w:link w:val="NoteHeading"/>
    <w:uiPriority w:val="99"/>
    <w:semiHidden/>
    <w:rsid w:val="00F80750"/>
    <w:rPr>
      <w:noProof w:val="0"/>
      <w:lang w:val="en-AU"/>
    </w:rPr>
  </w:style>
  <w:style w:type="character" w:styleId="PageNumber">
    <w:name w:val="page number"/>
    <w:basedOn w:val="DefaultParagraphFont"/>
    <w:uiPriority w:val="99"/>
    <w:semiHidden/>
    <w:unhideWhenUsed/>
    <w:locked/>
    <w:rsid w:val="00F80750"/>
    <w:rPr>
      <w:noProof w:val="0"/>
      <w:lang w:val="en-AU"/>
    </w:rPr>
  </w:style>
  <w:style w:type="paragraph" w:styleId="PlainText">
    <w:name w:val="Plain Text"/>
    <w:basedOn w:val="Normal"/>
    <w:link w:val="PlainTextChar"/>
    <w:uiPriority w:val="99"/>
    <w:semiHidden/>
    <w:unhideWhenUsed/>
    <w:locked/>
    <w:rsid w:val="00F80750"/>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F80750"/>
    <w:rPr>
      <w:rFonts w:ascii="Consolas" w:hAnsi="Consolas"/>
      <w:noProof w:val="0"/>
      <w:sz w:val="21"/>
      <w:szCs w:val="21"/>
      <w:lang w:val="en-AU"/>
    </w:rPr>
  </w:style>
  <w:style w:type="paragraph" w:styleId="Quote">
    <w:name w:val="Quote"/>
    <w:basedOn w:val="Normal"/>
    <w:next w:val="Normal"/>
    <w:link w:val="QuoteChar"/>
    <w:uiPriority w:val="29"/>
    <w:semiHidden/>
    <w:qFormat/>
    <w:locked/>
    <w:rsid w:val="00F80750"/>
    <w:rPr>
      <w:i/>
      <w:iCs/>
      <w:color w:val="000000" w:themeColor="text1"/>
    </w:rPr>
  </w:style>
  <w:style w:type="character" w:customStyle="1" w:styleId="QuoteChar">
    <w:name w:val="Quote Char"/>
    <w:basedOn w:val="DefaultParagraphFont"/>
    <w:link w:val="Quote"/>
    <w:uiPriority w:val="29"/>
    <w:semiHidden/>
    <w:rsid w:val="00F80750"/>
    <w:rPr>
      <w:i/>
      <w:iCs/>
      <w:noProof w:val="0"/>
      <w:color w:val="000000" w:themeColor="text1"/>
      <w:lang w:val="en-AU"/>
    </w:rPr>
  </w:style>
  <w:style w:type="paragraph" w:styleId="Salutation">
    <w:name w:val="Salutation"/>
    <w:basedOn w:val="Normal"/>
    <w:next w:val="Normal"/>
    <w:link w:val="SalutationChar"/>
    <w:uiPriority w:val="99"/>
    <w:semiHidden/>
    <w:unhideWhenUsed/>
    <w:locked/>
    <w:rsid w:val="00F80750"/>
  </w:style>
  <w:style w:type="character" w:customStyle="1" w:styleId="SalutationChar">
    <w:name w:val="Salutation Char"/>
    <w:basedOn w:val="DefaultParagraphFont"/>
    <w:link w:val="Salutation"/>
    <w:uiPriority w:val="99"/>
    <w:semiHidden/>
    <w:rsid w:val="00F80750"/>
    <w:rPr>
      <w:noProof w:val="0"/>
      <w:lang w:val="en-AU"/>
    </w:rPr>
  </w:style>
  <w:style w:type="paragraph" w:styleId="Signature">
    <w:name w:val="Signature"/>
    <w:basedOn w:val="Normal"/>
    <w:link w:val="SignatureChar"/>
    <w:uiPriority w:val="99"/>
    <w:semiHidden/>
    <w:unhideWhenUsed/>
    <w:locked/>
    <w:rsid w:val="00F80750"/>
    <w:pPr>
      <w:spacing w:after="0" w:line="240" w:lineRule="auto"/>
      <w:ind w:left="4252"/>
    </w:pPr>
  </w:style>
  <w:style w:type="character" w:customStyle="1" w:styleId="SignatureChar">
    <w:name w:val="Signature Char"/>
    <w:basedOn w:val="DefaultParagraphFont"/>
    <w:link w:val="Signature"/>
    <w:uiPriority w:val="99"/>
    <w:semiHidden/>
    <w:rsid w:val="00F80750"/>
    <w:rPr>
      <w:noProof w:val="0"/>
      <w:lang w:val="en-AU"/>
    </w:rPr>
  </w:style>
  <w:style w:type="character" w:styleId="Strong">
    <w:name w:val="Strong"/>
    <w:basedOn w:val="DefaultParagraphFont"/>
    <w:uiPriority w:val="22"/>
    <w:qFormat/>
    <w:rsid w:val="00120CF3"/>
    <w:rPr>
      <w:rFonts w:asciiTheme="minorHAnsi" w:hAnsiTheme="minorHAnsi"/>
      <w:b/>
      <w:bCs/>
      <w:noProof w:val="0"/>
      <w:sz w:val="22"/>
      <w:lang w:val="en-AU"/>
    </w:rPr>
  </w:style>
  <w:style w:type="paragraph" w:styleId="Subtitle">
    <w:name w:val="Subtitle"/>
    <w:basedOn w:val="Normal"/>
    <w:next w:val="Normal"/>
    <w:link w:val="SubtitleChar"/>
    <w:uiPriority w:val="11"/>
    <w:semiHidden/>
    <w:unhideWhenUsed/>
    <w:qFormat/>
    <w:locked/>
    <w:rsid w:val="00F80750"/>
    <w:pPr>
      <w:numPr>
        <w:ilvl w:val="1"/>
      </w:numPr>
    </w:pPr>
    <w:rPr>
      <w:rFonts w:asciiTheme="majorHAnsi" w:eastAsiaTheme="majorEastAsia" w:hAnsiTheme="majorHAnsi" w:cstheme="majorBidi"/>
      <w:i/>
      <w:iCs/>
      <w:color w:val="DDDDDD" w:themeColor="accent1"/>
      <w:spacing w:val="15"/>
      <w:sz w:val="24"/>
      <w:szCs w:val="24"/>
    </w:rPr>
  </w:style>
  <w:style w:type="character" w:customStyle="1" w:styleId="SubtitleChar">
    <w:name w:val="Subtitle Char"/>
    <w:basedOn w:val="DefaultParagraphFont"/>
    <w:link w:val="Subtitle"/>
    <w:uiPriority w:val="11"/>
    <w:semiHidden/>
    <w:rsid w:val="00F80750"/>
    <w:rPr>
      <w:rFonts w:asciiTheme="majorHAnsi" w:eastAsiaTheme="majorEastAsia" w:hAnsiTheme="majorHAnsi" w:cstheme="majorBidi"/>
      <w:i/>
      <w:iCs/>
      <w:noProof w:val="0"/>
      <w:color w:val="DDDDDD" w:themeColor="accent1"/>
      <w:spacing w:val="15"/>
      <w:sz w:val="24"/>
      <w:szCs w:val="24"/>
      <w:lang w:val="en-AU"/>
    </w:rPr>
  </w:style>
  <w:style w:type="character" w:styleId="SubtleEmphasis">
    <w:name w:val="Subtle Emphasis"/>
    <w:basedOn w:val="DefaultParagraphFont"/>
    <w:uiPriority w:val="19"/>
    <w:semiHidden/>
    <w:qFormat/>
    <w:locked/>
    <w:rsid w:val="00F80750"/>
    <w:rPr>
      <w:i/>
      <w:iCs/>
      <w:noProof w:val="0"/>
      <w:color w:val="808080" w:themeColor="text1" w:themeTint="7F"/>
      <w:lang w:val="en-AU"/>
    </w:rPr>
  </w:style>
  <w:style w:type="character" w:styleId="SubtleReference">
    <w:name w:val="Subtle Reference"/>
    <w:basedOn w:val="DefaultParagraphFont"/>
    <w:uiPriority w:val="31"/>
    <w:semiHidden/>
    <w:qFormat/>
    <w:locked/>
    <w:rsid w:val="00F80750"/>
    <w:rPr>
      <w:smallCaps/>
      <w:noProof w:val="0"/>
      <w:color w:val="B2B2B2" w:themeColor="accent2"/>
      <w:u w:val="single"/>
      <w:lang w:val="en-AU"/>
    </w:rPr>
  </w:style>
  <w:style w:type="table" w:styleId="Table3Deffects1">
    <w:name w:val="Table 3D effects 1"/>
    <w:basedOn w:val="TableNormal"/>
    <w:uiPriority w:val="99"/>
    <w:semiHidden/>
    <w:unhideWhenUsed/>
    <w:locked/>
    <w:rsid w:val="00F80750"/>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locked/>
    <w:rsid w:val="00F80750"/>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locked/>
    <w:rsid w:val="00F80750"/>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locked/>
    <w:rsid w:val="00F80750"/>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locked/>
    <w:rsid w:val="00F80750"/>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locked/>
    <w:rsid w:val="00F80750"/>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locked/>
    <w:rsid w:val="00F80750"/>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locked/>
    <w:rsid w:val="00F80750"/>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locked/>
    <w:rsid w:val="00F80750"/>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locked/>
    <w:rsid w:val="00F80750"/>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locked/>
    <w:rsid w:val="00F80750"/>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locked/>
    <w:rsid w:val="00F80750"/>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locked/>
    <w:rsid w:val="00F80750"/>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locked/>
    <w:rsid w:val="00F80750"/>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locked/>
    <w:rsid w:val="00F8075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locked/>
    <w:rsid w:val="00F80750"/>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locked/>
    <w:rsid w:val="00F80750"/>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locked/>
    <w:rsid w:val="00F80750"/>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locked/>
    <w:rsid w:val="00F80750"/>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locked/>
    <w:rsid w:val="00F80750"/>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locked/>
    <w:rsid w:val="00F80750"/>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locked/>
    <w:rsid w:val="00F80750"/>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locked/>
    <w:rsid w:val="00F80750"/>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locked/>
    <w:rsid w:val="00F80750"/>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locked/>
    <w:rsid w:val="00F80750"/>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locked/>
    <w:rsid w:val="00F80750"/>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locked/>
    <w:rsid w:val="00F80750"/>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locked/>
    <w:rsid w:val="00F80750"/>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locked/>
    <w:rsid w:val="00F80750"/>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locked/>
    <w:rsid w:val="00F80750"/>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locked/>
    <w:rsid w:val="00F80750"/>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locked/>
    <w:rsid w:val="00F80750"/>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locked/>
    <w:rsid w:val="00F80750"/>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locked/>
    <w:rsid w:val="00F80750"/>
    <w:pPr>
      <w:spacing w:after="0"/>
      <w:ind w:left="190" w:hanging="190"/>
    </w:pPr>
  </w:style>
  <w:style w:type="paragraph" w:styleId="TableofFigures">
    <w:name w:val="table of figures"/>
    <w:basedOn w:val="Normal"/>
    <w:next w:val="Normal"/>
    <w:uiPriority w:val="99"/>
    <w:semiHidden/>
    <w:unhideWhenUsed/>
    <w:locked/>
    <w:rsid w:val="00F80750"/>
    <w:pPr>
      <w:spacing w:after="0"/>
    </w:pPr>
  </w:style>
  <w:style w:type="table" w:styleId="TableProfessional">
    <w:name w:val="Table Professional"/>
    <w:basedOn w:val="TableNormal"/>
    <w:uiPriority w:val="99"/>
    <w:semiHidden/>
    <w:unhideWhenUsed/>
    <w:locked/>
    <w:rsid w:val="00F80750"/>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locked/>
    <w:rsid w:val="00F80750"/>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locked/>
    <w:rsid w:val="00F80750"/>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locked/>
    <w:rsid w:val="00F80750"/>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locked/>
    <w:rsid w:val="00F80750"/>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locked/>
    <w:rsid w:val="00F80750"/>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locked/>
    <w:rsid w:val="00F807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locked/>
    <w:rsid w:val="00F80750"/>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locked/>
    <w:rsid w:val="00F80750"/>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locked/>
    <w:rsid w:val="00F80750"/>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locked/>
    <w:rsid w:val="00F80750"/>
    <w:pPr>
      <w:spacing w:before="120"/>
    </w:pPr>
    <w:rPr>
      <w:rFonts w:asciiTheme="majorHAnsi" w:eastAsiaTheme="majorEastAsia" w:hAnsiTheme="majorHAnsi" w:cstheme="majorBidi"/>
      <w:b/>
      <w:bCs/>
      <w:sz w:val="24"/>
      <w:szCs w:val="24"/>
    </w:rPr>
  </w:style>
  <w:style w:type="paragraph" w:styleId="TOC2">
    <w:name w:val="toc 2"/>
    <w:basedOn w:val="Normal"/>
    <w:next w:val="Normal"/>
    <w:autoRedefine/>
    <w:uiPriority w:val="39"/>
    <w:rsid w:val="00737D9E"/>
    <w:pPr>
      <w:spacing w:after="97"/>
      <w:ind w:left="193"/>
    </w:pPr>
    <w:rPr>
      <w:sz w:val="18"/>
    </w:rPr>
  </w:style>
  <w:style w:type="paragraph" w:styleId="TOC3">
    <w:name w:val="toc 3"/>
    <w:basedOn w:val="Normal"/>
    <w:next w:val="Normal"/>
    <w:autoRedefine/>
    <w:uiPriority w:val="39"/>
    <w:rsid w:val="00737D9E"/>
    <w:pPr>
      <w:spacing w:after="97"/>
      <w:ind w:left="380"/>
    </w:pPr>
    <w:rPr>
      <w:sz w:val="18"/>
    </w:rPr>
  </w:style>
  <w:style w:type="paragraph" w:styleId="TOC4">
    <w:name w:val="toc 4"/>
    <w:basedOn w:val="Normal"/>
    <w:next w:val="Normal"/>
    <w:autoRedefine/>
    <w:uiPriority w:val="39"/>
    <w:semiHidden/>
    <w:unhideWhenUsed/>
    <w:locked/>
    <w:rsid w:val="00F80750"/>
    <w:pPr>
      <w:spacing w:after="100"/>
      <w:ind w:left="570"/>
    </w:pPr>
  </w:style>
  <w:style w:type="paragraph" w:styleId="TOC5">
    <w:name w:val="toc 5"/>
    <w:basedOn w:val="Normal"/>
    <w:next w:val="Normal"/>
    <w:autoRedefine/>
    <w:uiPriority w:val="39"/>
    <w:semiHidden/>
    <w:unhideWhenUsed/>
    <w:locked/>
    <w:rsid w:val="00F80750"/>
    <w:pPr>
      <w:spacing w:after="100"/>
      <w:ind w:left="760"/>
    </w:pPr>
  </w:style>
  <w:style w:type="paragraph" w:styleId="TOC6">
    <w:name w:val="toc 6"/>
    <w:basedOn w:val="Normal"/>
    <w:next w:val="Normal"/>
    <w:autoRedefine/>
    <w:uiPriority w:val="39"/>
    <w:semiHidden/>
    <w:unhideWhenUsed/>
    <w:locked/>
    <w:rsid w:val="00F80750"/>
    <w:pPr>
      <w:spacing w:after="100"/>
      <w:ind w:left="950"/>
    </w:pPr>
  </w:style>
  <w:style w:type="paragraph" w:styleId="TOC7">
    <w:name w:val="toc 7"/>
    <w:basedOn w:val="Normal"/>
    <w:next w:val="Normal"/>
    <w:autoRedefine/>
    <w:uiPriority w:val="39"/>
    <w:semiHidden/>
    <w:unhideWhenUsed/>
    <w:locked/>
    <w:rsid w:val="00F80750"/>
    <w:pPr>
      <w:spacing w:after="100"/>
      <w:ind w:left="1140"/>
    </w:pPr>
  </w:style>
  <w:style w:type="paragraph" w:styleId="TOC8">
    <w:name w:val="toc 8"/>
    <w:basedOn w:val="Normal"/>
    <w:next w:val="Normal"/>
    <w:autoRedefine/>
    <w:uiPriority w:val="39"/>
    <w:semiHidden/>
    <w:unhideWhenUsed/>
    <w:locked/>
    <w:rsid w:val="00F80750"/>
    <w:pPr>
      <w:spacing w:after="100"/>
      <w:ind w:left="1330"/>
    </w:pPr>
  </w:style>
  <w:style w:type="paragraph" w:styleId="TOC9">
    <w:name w:val="toc 9"/>
    <w:basedOn w:val="Normal"/>
    <w:next w:val="Normal"/>
    <w:autoRedefine/>
    <w:uiPriority w:val="39"/>
    <w:semiHidden/>
    <w:unhideWhenUsed/>
    <w:locked/>
    <w:rsid w:val="00F80750"/>
    <w:pPr>
      <w:spacing w:after="100"/>
      <w:ind w:left="1520"/>
    </w:pPr>
  </w:style>
  <w:style w:type="paragraph" w:customStyle="1" w:styleId="Source">
    <w:name w:val="Source"/>
    <w:basedOn w:val="Normal"/>
    <w:next w:val="Normal"/>
    <w:uiPriority w:val="15"/>
    <w:qFormat/>
    <w:rsid w:val="00120CF3"/>
    <w:pPr>
      <w:numPr>
        <w:ilvl w:val="4"/>
        <w:numId w:val="28"/>
      </w:numPr>
      <w:spacing w:before="57"/>
    </w:pPr>
    <w:rPr>
      <w:sz w:val="17"/>
    </w:rPr>
  </w:style>
  <w:style w:type="paragraph" w:customStyle="1" w:styleId="AppendixHeading">
    <w:name w:val="Appendix Heading"/>
    <w:basedOn w:val="Heading1"/>
    <w:next w:val="BodyText"/>
    <w:uiPriority w:val="4"/>
    <w:qFormat/>
    <w:rsid w:val="00301352"/>
    <w:pPr>
      <w:numPr>
        <w:ilvl w:val="4"/>
      </w:numPr>
      <w:spacing w:before="280" w:after="280"/>
    </w:pPr>
    <w:rPr>
      <w:rFonts w:asciiTheme="majorHAnsi" w:hAnsiTheme="majorHAnsi"/>
    </w:rPr>
  </w:style>
  <w:style w:type="paragraph" w:customStyle="1" w:styleId="Copyright">
    <w:name w:val="Copyright"/>
    <w:basedOn w:val="Normal"/>
    <w:uiPriority w:val="7"/>
    <w:qFormat/>
    <w:rsid w:val="00737D9E"/>
    <w:rPr>
      <w:sz w:val="16"/>
    </w:rPr>
  </w:style>
  <w:style w:type="paragraph" w:customStyle="1" w:styleId="TableBullets1">
    <w:name w:val="Table Bullets 1"/>
    <w:basedOn w:val="Normal"/>
    <w:uiPriority w:val="11"/>
    <w:qFormat/>
    <w:rsid w:val="00120CF3"/>
    <w:pPr>
      <w:numPr>
        <w:numId w:val="29"/>
      </w:numPr>
      <w:spacing w:before="20" w:after="57" w:line="240" w:lineRule="auto"/>
      <w:ind w:right="108" w:hanging="357"/>
    </w:pPr>
    <w:rPr>
      <w:sz w:val="17"/>
    </w:rPr>
  </w:style>
  <w:style w:type="paragraph" w:customStyle="1" w:styleId="Note">
    <w:name w:val="Note"/>
    <w:basedOn w:val="Source"/>
    <w:next w:val="Normal"/>
    <w:uiPriority w:val="15"/>
    <w:qFormat/>
    <w:rsid w:val="000B5DCC"/>
    <w:pPr>
      <w:numPr>
        <w:ilvl w:val="5"/>
      </w:numPr>
    </w:pPr>
    <w:rPr>
      <w:b/>
    </w:rPr>
  </w:style>
  <w:style w:type="paragraph" w:customStyle="1" w:styleId="Tableindent">
    <w:name w:val="Table indent"/>
    <w:basedOn w:val="Normal"/>
    <w:uiPriority w:val="11"/>
    <w:qFormat/>
    <w:rsid w:val="00480570"/>
    <w:pPr>
      <w:spacing w:before="20" w:line="240" w:lineRule="auto"/>
      <w:ind w:left="284" w:right="108"/>
    </w:pPr>
    <w:rPr>
      <w:color w:val="000000" w:themeColor="text1" w:themeShade="BF"/>
      <w:sz w:val="17"/>
    </w:rPr>
  </w:style>
  <w:style w:type="paragraph" w:customStyle="1" w:styleId="TableIndent2">
    <w:name w:val="Table Indent 2"/>
    <w:basedOn w:val="Tableindent"/>
    <w:uiPriority w:val="11"/>
    <w:qFormat/>
    <w:rsid w:val="00480570"/>
    <w:pPr>
      <w:ind w:left="465"/>
    </w:pPr>
    <w:rPr>
      <w:bCs/>
    </w:rPr>
  </w:style>
  <w:style w:type="paragraph" w:customStyle="1" w:styleId="OutcomeHeading">
    <w:name w:val="Outcome Heading"/>
    <w:basedOn w:val="Heading2"/>
    <w:uiPriority w:val="4"/>
    <w:semiHidden/>
    <w:qFormat/>
    <w:rsid w:val="00480570"/>
    <w:pPr>
      <w:numPr>
        <w:ilvl w:val="5"/>
      </w:numPr>
    </w:pPr>
  </w:style>
  <w:style w:type="paragraph" w:customStyle="1" w:styleId="Dear">
    <w:name w:val="Dear"/>
    <w:basedOn w:val="Normal"/>
    <w:next w:val="Normal"/>
    <w:uiPriority w:val="99"/>
    <w:rsid w:val="002F4EBA"/>
    <w:pPr>
      <w:spacing w:before="120" w:after="360" w:line="240" w:lineRule="atLeast"/>
    </w:pPr>
    <w:rPr>
      <w:rFonts w:asciiTheme="minorHAnsi" w:hAnsiTheme="minorHAnsi"/>
    </w:rPr>
  </w:style>
  <w:style w:type="paragraph" w:customStyle="1" w:styleId="Sincerely">
    <w:name w:val="Sincerely"/>
    <w:basedOn w:val="Normal"/>
    <w:next w:val="Normal"/>
    <w:uiPriority w:val="99"/>
    <w:rsid w:val="002F4EBA"/>
    <w:pPr>
      <w:spacing w:before="360" w:after="1080" w:line="240" w:lineRule="atLeast"/>
      <w:jc w:val="both"/>
    </w:pPr>
    <w:rPr>
      <w:rFonts w:asciiTheme="minorHAnsi" w:hAnsiTheme="minorHAnsi"/>
    </w:rPr>
  </w:style>
  <w:style w:type="paragraph" w:customStyle="1" w:styleId="NameAddressDetails">
    <w:name w:val="Name Address Details"/>
    <w:basedOn w:val="Normal"/>
    <w:uiPriority w:val="99"/>
    <w:rsid w:val="002F4EBA"/>
    <w:pPr>
      <w:spacing w:before="960" w:after="600" w:line="240" w:lineRule="atLeast"/>
      <w:contextualSpacing/>
    </w:pPr>
    <w:rPr>
      <w:rFonts w:asciiTheme="minorHAnsi" w:hAnsiTheme="minorHAnsi"/>
    </w:rPr>
  </w:style>
  <w:style w:type="paragraph" w:customStyle="1" w:styleId="NamePosition">
    <w:name w:val="Name Position"/>
    <w:basedOn w:val="Normal"/>
    <w:uiPriority w:val="99"/>
    <w:rsid w:val="001C5D4A"/>
    <w:pPr>
      <w:spacing w:before="840" w:after="0" w:line="240" w:lineRule="atLeast"/>
      <w:contextualSpacing/>
    </w:pPr>
    <w:rPr>
      <w:rFonts w:asciiTheme="minorHAnsi" w:hAnsiTheme="minorHAnsi"/>
    </w:rPr>
  </w:style>
  <w:style w:type="paragraph" w:customStyle="1" w:styleId="SUBJECT">
    <w:name w:val="SUBJECT"/>
    <w:basedOn w:val="Normal"/>
    <w:next w:val="Normal"/>
    <w:uiPriority w:val="99"/>
    <w:rsid w:val="002F4EBA"/>
    <w:pPr>
      <w:spacing w:before="120" w:after="360" w:line="240" w:lineRule="atLeast"/>
    </w:pPr>
    <w:rPr>
      <w:rFonts w:asciiTheme="minorHAnsi" w:hAnsiTheme="minorHAnsi"/>
      <w:b/>
      <w:caps/>
    </w:rPr>
  </w:style>
  <w:style w:type="paragraph" w:customStyle="1" w:styleId="NotesHeading-Level2">
    <w:name w:val="Notes Heading - Level 2"/>
    <w:basedOn w:val="NotesHeading-Level1"/>
    <w:next w:val="Normal"/>
    <w:uiPriority w:val="15"/>
    <w:qFormat/>
    <w:rsid w:val="0008244F"/>
    <w:pPr>
      <w:numPr>
        <w:ilvl w:val="1"/>
      </w:numPr>
      <w:pBdr>
        <w:top w:val="none" w:sz="0" w:space="0" w:color="auto"/>
        <w:left w:val="none" w:sz="0" w:space="0" w:color="auto"/>
        <w:bottom w:val="none" w:sz="0" w:space="0" w:color="auto"/>
        <w:right w:val="none" w:sz="0" w:space="0" w:color="auto"/>
      </w:pBdr>
      <w:shd w:val="clear" w:color="auto" w:fill="auto"/>
      <w:ind w:right="108"/>
    </w:pPr>
    <w:rPr>
      <w:rFonts w:cs="Arial"/>
      <w:color w:val="auto"/>
      <w:u w:val="single"/>
    </w:rPr>
  </w:style>
  <w:style w:type="paragraph" w:customStyle="1" w:styleId="ShadedNormal">
    <w:name w:val="Shaded Normal"/>
    <w:basedOn w:val="Normal"/>
    <w:next w:val="Normal"/>
    <w:uiPriority w:val="15"/>
    <w:qFormat/>
    <w:rsid w:val="00606EAB"/>
    <w:pPr>
      <w:pBdr>
        <w:top w:val="single" w:sz="24" w:space="1" w:color="4D4D4D" w:themeColor="accent6"/>
        <w:left w:val="single" w:sz="24" w:space="4" w:color="4D4D4D" w:themeColor="accent6"/>
        <w:bottom w:val="single" w:sz="24" w:space="1" w:color="4D4D4D" w:themeColor="accent6"/>
        <w:right w:val="single" w:sz="24" w:space="4" w:color="4D4D4D" w:themeColor="accent6"/>
      </w:pBdr>
      <w:shd w:val="clear" w:color="auto" w:fill="4D4D4D" w:themeFill="accent6"/>
      <w:ind w:left="170" w:right="170"/>
    </w:pPr>
    <w:rPr>
      <w:color w:val="FFFFFF" w:themeColor="background1"/>
    </w:rPr>
  </w:style>
  <w:style w:type="paragraph" w:customStyle="1" w:styleId="Footnote">
    <w:name w:val="Footnote"/>
    <w:basedOn w:val="BodyText"/>
    <w:uiPriority w:val="99"/>
    <w:rsid w:val="00840E66"/>
    <w:pPr>
      <w:suppressAutoHyphens/>
      <w:autoSpaceDE w:val="0"/>
      <w:autoSpaceDN w:val="0"/>
      <w:adjustRightInd w:val="0"/>
      <w:spacing w:after="113" w:line="160" w:lineRule="atLeast"/>
      <w:textAlignment w:val="center"/>
    </w:pPr>
    <w:rPr>
      <w:rFonts w:ascii="Univers 47 Light Condensed" w:hAnsi="Univers 47 Light Condensed" w:cs="Univers 47 Light Condensed"/>
      <w:color w:val="000000"/>
      <w:sz w:val="14"/>
      <w:szCs w:val="14"/>
      <w:lang w:val="en-GB"/>
    </w:rPr>
  </w:style>
  <w:style w:type="character" w:customStyle="1" w:styleId="footnoteitalic">
    <w:name w:val="footnote italic"/>
    <w:uiPriority w:val="99"/>
    <w:rsid w:val="00840E66"/>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theme="minorBidi"/>
        <w:lang w:val="en-AU" w:eastAsia="en-US" w:bidi="ar-SA"/>
      </w:rPr>
    </w:rPrDefault>
    <w:pPrDefault>
      <w:pPr>
        <w:spacing w:after="113" w:line="276" w:lineRule="auto"/>
      </w:pPr>
    </w:pPrDefault>
  </w:docDefaults>
  <w:latentStyles w:defLockedState="1" w:defUIPriority="99" w:defSemiHidden="1" w:defUnhideWhenUsed="0" w:defQFormat="0" w:count="267">
    <w:lsdException w:name="Normal" w:locked="0" w:semiHidden="0" w:uiPriority="0" w:qFormat="1"/>
    <w:lsdException w:name="heading 1" w:semiHidden="0" w:uiPriority="9" w:qFormat="1"/>
    <w:lsdException w:name="heading 2" w:uiPriority="9" w:unhideWhenUsed="1" w:qFormat="1"/>
    <w:lsdException w:name="heading 3" w:uiPriority="9" w:unhideWhenUsed="1" w:qFormat="1"/>
    <w:lsdException w:name="heading 4" w:locked="0" w:uiPriority="9" w:unhideWhenUsed="1" w:qFormat="1"/>
    <w:lsdException w:name="heading 5" w:uiPriority="9"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semiHidden="0" w:uiPriority="39"/>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unhideWhenUsed="1"/>
    <w:lsdException w:name="footnote text" w:locked="0" w:semiHidden="0"/>
    <w:lsdException w:name="annotation text" w:unhideWhenUsed="1"/>
    <w:lsdException w:name="header" w:locked="0" w:semiHidden="0"/>
    <w:lsdException w:name="footer" w:locked="0" w:semiHidden="0"/>
    <w:lsdException w:name="index heading" w:unhideWhenUsed="1"/>
    <w:lsdException w:name="caption" w:semiHidden="0" w:uiPriority="35" w:qFormat="1"/>
    <w:lsdException w:name="table of figures" w:unhideWhenUsed="1"/>
    <w:lsdException w:name="envelope address" w:unhideWhenUsed="1"/>
    <w:lsdException w:name="envelope return" w:unhideWhenUsed="1"/>
    <w:lsdException w:name="footnote reference" w:locked="0" w:semiHidden="0"/>
    <w:lsdException w:name="annotation reference" w:unhideWhenUsed="1"/>
    <w:lsdException w:name="line number" w:unhideWhenUsed="1"/>
    <w:lsdException w:name="page number" w:unhideWhenUsed="1"/>
    <w:lsdException w:name="endnote reference" w:locked="0" w:semiHidden="0"/>
    <w:lsdException w:name="endnote text" w:locked="0" w:semiHidden="0"/>
    <w:lsdException w:name="table of authorities" w:unhideWhenUsed="1"/>
    <w:lsdException w:name="macro" w:unhideWhenUsed="1"/>
    <w:lsdException w:name="toa heading" w:unhideWhenUsed="1"/>
    <w:lsdException w:name="List" w:unhideWhenUsed="1"/>
    <w:lsdException w:name="List Bullet" w:semiHidden="0" w:qFormat="1"/>
    <w:lsdException w:name="List Number" w:semiHidden="0" w:uiPriority="16" w:qFormat="1"/>
    <w:lsdException w:name="List 2" w:unhideWhenUsed="1"/>
    <w:lsdException w:name="List 3" w:unhideWhenUsed="1"/>
    <w:lsdException w:name="List 4" w:unhideWhenUsed="1"/>
    <w:lsdException w:name="List 5" w:unhideWhenUsed="1"/>
    <w:lsdException w:name="List Bullet 2" w:semiHidden="0" w:qFormat="1"/>
    <w:lsdException w:name="List Bullet 3" w:semiHidden="0" w:qFormat="1"/>
    <w:lsdException w:name="List Bullet 4" w:semiHidden="0" w:qFormat="1"/>
    <w:lsdException w:name="List Number 2" w:semiHidden="0" w:uiPriority="16" w:qFormat="1"/>
    <w:lsdException w:name="List Number 3" w:semiHidden="0" w:uiPriority="16" w:qFormat="1"/>
    <w:lsdException w:name="List Number 4" w:semiHidden="0" w:uiPriority="16"/>
    <w:lsdException w:name="Title" w:semiHidden="0" w:uiPriority="10"/>
    <w:lsdException w:name="Closing" w:unhideWhenUsed="1"/>
    <w:lsdException w:name="Signature" w:unhideWhenUsed="1"/>
    <w:lsdException w:name="Default Paragraph Font" w:locked="0" w:uiPriority="1" w:unhideWhenUsed="1"/>
    <w:lsdException w:name="Body Text" w:unhideWhenUsed="1" w:qFormat="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uiPriority="11" w:unhideWhenUsed="1"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locked="0" w:unhideWhenUsed="1"/>
    <w:lsdException w:name="FollowedHyperlink" w:locked="0" w:semiHidden="0"/>
    <w:lsdException w:name="Strong" w:semiHidden="0" w:uiPriority="22" w:qFormat="1"/>
    <w:lsdException w:name="Emphasis" w:semiHidden="0" w:uiPriority="20" w:qFormat="1"/>
    <w:lsdException w:name="Document Map" w:unhideWhenUsed="1"/>
    <w:lsdException w:name="Plain Text" w:unhideWhenUsed="1"/>
    <w:lsdException w:name="E-mail Signature" w:unhideWhenUsed="1"/>
    <w:lsdException w:name="HTML Top of Form" w:locked="0" w:unhideWhenUsed="1"/>
    <w:lsdException w:name="HTML Bottom of Form" w:locked="0"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locked="0" w:unhideWhenUsed="1"/>
    <w:lsdException w:name="annotation subject" w:unhideWhenUsed="1"/>
    <w:lsdException w:name="No List" w:locked="0"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uiPriority="59"/>
    <w:lsdException w:name="Table Theme" w:unhideWhenUsed="1"/>
    <w:lsdException w:name="Placeholder Text" w:unhideWhenUsed="1"/>
    <w:lsdException w:name="No Spacing" w:uiPriority="1" w:unhideWhenUsed="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locked="0"/>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semiHidden="0" w:uiPriority="39"/>
  </w:latentStyles>
  <w:style w:type="paragraph" w:default="1" w:styleId="Normal">
    <w:name w:val="Normal"/>
    <w:uiPriority w:val="19"/>
    <w:qFormat/>
    <w:rsid w:val="00E331F4"/>
  </w:style>
  <w:style w:type="paragraph" w:styleId="Heading1">
    <w:name w:val="heading 1"/>
    <w:basedOn w:val="Normal"/>
    <w:next w:val="BodyText"/>
    <w:link w:val="Heading1Char"/>
    <w:uiPriority w:val="3"/>
    <w:qFormat/>
    <w:rsid w:val="00840E66"/>
    <w:pPr>
      <w:keepNext/>
      <w:keepLines/>
      <w:numPr>
        <w:numId w:val="35"/>
      </w:numPr>
      <w:spacing w:before="240" w:after="60"/>
      <w:outlineLvl w:val="0"/>
    </w:pPr>
    <w:rPr>
      <w:rFonts w:eastAsiaTheme="majorEastAsia" w:cstheme="majorBidi"/>
      <w:bCs/>
      <w:sz w:val="36"/>
      <w:szCs w:val="28"/>
    </w:rPr>
  </w:style>
  <w:style w:type="paragraph" w:styleId="Heading2">
    <w:name w:val="heading 2"/>
    <w:basedOn w:val="Normal"/>
    <w:next w:val="BodyText"/>
    <w:link w:val="Heading2Char"/>
    <w:uiPriority w:val="3"/>
    <w:qFormat/>
    <w:rsid w:val="00840E66"/>
    <w:pPr>
      <w:keepNext/>
      <w:keepLines/>
      <w:numPr>
        <w:ilvl w:val="1"/>
        <w:numId w:val="35"/>
      </w:numPr>
      <w:spacing w:before="240"/>
      <w:outlineLvl w:val="1"/>
    </w:pPr>
    <w:rPr>
      <w:rFonts w:asciiTheme="majorHAnsi" w:eastAsiaTheme="majorEastAsia" w:hAnsiTheme="majorHAnsi" w:cstheme="majorBidi"/>
      <w:bCs/>
      <w:color w:val="000000" w:themeColor="text1"/>
      <w:sz w:val="28"/>
      <w:szCs w:val="26"/>
    </w:rPr>
  </w:style>
  <w:style w:type="paragraph" w:styleId="Heading3">
    <w:name w:val="heading 3"/>
    <w:basedOn w:val="Normal"/>
    <w:next w:val="BodyText"/>
    <w:link w:val="Heading3Char"/>
    <w:uiPriority w:val="3"/>
    <w:qFormat/>
    <w:rsid w:val="00840E66"/>
    <w:pPr>
      <w:keepNext/>
      <w:keepLines/>
      <w:numPr>
        <w:ilvl w:val="2"/>
        <w:numId w:val="35"/>
      </w:numPr>
      <w:spacing w:before="170"/>
      <w:outlineLvl w:val="2"/>
    </w:pPr>
    <w:rPr>
      <w:rFonts w:asciiTheme="majorHAnsi" w:eastAsiaTheme="majorEastAsia" w:hAnsiTheme="majorHAnsi" w:cstheme="majorBidi"/>
      <w:b/>
      <w:bCs/>
      <w:i/>
      <w:color w:val="000000" w:themeColor="text1"/>
      <w:sz w:val="24"/>
    </w:rPr>
  </w:style>
  <w:style w:type="paragraph" w:styleId="Heading4">
    <w:name w:val="heading 4"/>
    <w:basedOn w:val="Normal"/>
    <w:next w:val="BodyText"/>
    <w:link w:val="Heading4Char"/>
    <w:uiPriority w:val="3"/>
    <w:qFormat/>
    <w:rsid w:val="00120CF3"/>
    <w:pPr>
      <w:keepNext/>
      <w:keepLines/>
      <w:numPr>
        <w:ilvl w:val="3"/>
        <w:numId w:val="35"/>
      </w:numPr>
      <w:spacing w:before="113" w:after="57"/>
      <w:outlineLvl w:val="3"/>
    </w:pPr>
    <w:rPr>
      <w:rFonts w:asciiTheme="majorHAnsi" w:eastAsiaTheme="majorEastAsia" w:hAnsiTheme="majorHAnsi" w:cstheme="majorBidi"/>
      <w:b/>
      <w:bCs/>
      <w:iCs/>
      <w:color w:val="000000" w:themeColor="text1"/>
    </w:rPr>
  </w:style>
  <w:style w:type="paragraph" w:styleId="Heading5">
    <w:name w:val="heading 5"/>
    <w:basedOn w:val="Normal"/>
    <w:next w:val="Normal"/>
    <w:link w:val="Heading5Char"/>
    <w:uiPriority w:val="9"/>
    <w:semiHidden/>
    <w:qFormat/>
    <w:locked/>
    <w:rsid w:val="00F80750"/>
    <w:pPr>
      <w:keepNext/>
      <w:keepLines/>
      <w:spacing w:before="200" w:after="0"/>
      <w:outlineLvl w:val="4"/>
    </w:pPr>
    <w:rPr>
      <w:rFonts w:asciiTheme="majorHAnsi" w:eastAsiaTheme="majorEastAsia" w:hAnsiTheme="majorHAnsi" w:cstheme="majorBidi"/>
      <w:color w:val="6E6E6E" w:themeColor="accent1" w:themeShade="7F"/>
    </w:rPr>
  </w:style>
  <w:style w:type="paragraph" w:styleId="Heading6">
    <w:name w:val="heading 6"/>
    <w:basedOn w:val="Normal"/>
    <w:next w:val="Normal"/>
    <w:link w:val="Heading6Char"/>
    <w:uiPriority w:val="9"/>
    <w:semiHidden/>
    <w:unhideWhenUsed/>
    <w:qFormat/>
    <w:locked/>
    <w:rsid w:val="00F80750"/>
    <w:pPr>
      <w:keepNext/>
      <w:keepLines/>
      <w:spacing w:before="200" w:after="0"/>
      <w:outlineLvl w:val="5"/>
    </w:pPr>
    <w:rPr>
      <w:rFonts w:asciiTheme="majorHAnsi" w:eastAsiaTheme="majorEastAsia" w:hAnsiTheme="majorHAnsi" w:cstheme="majorBidi"/>
      <w:i/>
      <w:iCs/>
      <w:color w:val="6E6E6E" w:themeColor="accent1" w:themeShade="7F"/>
    </w:rPr>
  </w:style>
  <w:style w:type="paragraph" w:styleId="Heading7">
    <w:name w:val="heading 7"/>
    <w:basedOn w:val="Normal"/>
    <w:next w:val="Normal"/>
    <w:link w:val="Heading7Char"/>
    <w:uiPriority w:val="9"/>
    <w:semiHidden/>
    <w:unhideWhenUsed/>
    <w:qFormat/>
    <w:locked/>
    <w:rsid w:val="00F80750"/>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locked/>
    <w:rsid w:val="00F80750"/>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Normal"/>
    <w:next w:val="Normal"/>
    <w:link w:val="Heading9Char"/>
    <w:uiPriority w:val="9"/>
    <w:semiHidden/>
    <w:unhideWhenUsed/>
    <w:qFormat/>
    <w:locked/>
    <w:rsid w:val="00F80750"/>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3"/>
    <w:rsid w:val="00E331F4"/>
    <w:rPr>
      <w:rFonts w:eastAsiaTheme="majorEastAsia" w:cstheme="majorBidi"/>
      <w:bCs/>
      <w:sz w:val="36"/>
      <w:szCs w:val="28"/>
    </w:rPr>
  </w:style>
  <w:style w:type="character" w:customStyle="1" w:styleId="Heading2Char">
    <w:name w:val="Heading 2 Char"/>
    <w:basedOn w:val="DefaultParagraphFont"/>
    <w:link w:val="Heading2"/>
    <w:uiPriority w:val="3"/>
    <w:rsid w:val="00E331F4"/>
    <w:rPr>
      <w:rFonts w:asciiTheme="majorHAnsi" w:eastAsiaTheme="majorEastAsia" w:hAnsiTheme="majorHAnsi" w:cstheme="majorBidi"/>
      <w:bCs/>
      <w:color w:val="000000" w:themeColor="text1"/>
      <w:sz w:val="28"/>
      <w:szCs w:val="26"/>
    </w:rPr>
  </w:style>
  <w:style w:type="character" w:customStyle="1" w:styleId="Heading3Char">
    <w:name w:val="Heading 3 Char"/>
    <w:basedOn w:val="DefaultParagraphFont"/>
    <w:link w:val="Heading3"/>
    <w:uiPriority w:val="3"/>
    <w:rsid w:val="0003506B"/>
    <w:rPr>
      <w:rFonts w:asciiTheme="majorHAnsi" w:eastAsiaTheme="majorEastAsia" w:hAnsiTheme="majorHAnsi" w:cstheme="majorBidi"/>
      <w:b/>
      <w:bCs/>
      <w:i/>
      <w:color w:val="000000" w:themeColor="text1"/>
      <w:sz w:val="24"/>
    </w:rPr>
  </w:style>
  <w:style w:type="paragraph" w:customStyle="1" w:styleId="CoverSubtitle">
    <w:name w:val="Cover Subtitle"/>
    <w:basedOn w:val="Title"/>
    <w:next w:val="CoverIntroductionText"/>
    <w:uiPriority w:val="99"/>
    <w:rsid w:val="00737D9E"/>
    <w:pPr>
      <w:spacing w:before="0" w:after="360"/>
    </w:pPr>
  </w:style>
  <w:style w:type="paragraph" w:customStyle="1" w:styleId="BodyBold">
    <w:name w:val="Body Bold"/>
    <w:basedOn w:val="Normal"/>
    <w:uiPriority w:val="5"/>
    <w:qFormat/>
    <w:rsid w:val="008D080C"/>
    <w:rPr>
      <w:b/>
    </w:rPr>
  </w:style>
  <w:style w:type="paragraph" w:customStyle="1" w:styleId="BodyBullet1">
    <w:name w:val="Body Bullet 1"/>
    <w:basedOn w:val="Normal"/>
    <w:semiHidden/>
    <w:qFormat/>
    <w:locked/>
    <w:rsid w:val="008A72D2"/>
    <w:pPr>
      <w:numPr>
        <w:numId w:val="1"/>
      </w:numPr>
      <w:spacing w:line="240" w:lineRule="atLeast"/>
      <w:ind w:left="714" w:hanging="357"/>
      <w:contextualSpacing/>
    </w:pPr>
  </w:style>
  <w:style w:type="paragraph" w:customStyle="1" w:styleId="BodyBullet2">
    <w:name w:val="Body Bullet 2"/>
    <w:basedOn w:val="BodyBullet1"/>
    <w:semiHidden/>
    <w:qFormat/>
    <w:locked/>
    <w:rsid w:val="008A72D2"/>
    <w:pPr>
      <w:numPr>
        <w:numId w:val="2"/>
      </w:numPr>
      <w:ind w:hanging="357"/>
    </w:pPr>
  </w:style>
  <w:style w:type="paragraph" w:customStyle="1" w:styleId="SubHeading">
    <w:name w:val="Sub Heading"/>
    <w:basedOn w:val="SUBJECT"/>
    <w:uiPriority w:val="9"/>
    <w:qFormat/>
    <w:rsid w:val="00A33F67"/>
    <w:pPr>
      <w:spacing w:before="240" w:after="120"/>
    </w:pPr>
  </w:style>
  <w:style w:type="character" w:customStyle="1" w:styleId="BoldCharacter">
    <w:name w:val="Bold Character"/>
    <w:basedOn w:val="DefaultParagraphFont"/>
    <w:uiPriority w:val="5"/>
    <w:qFormat/>
    <w:rsid w:val="003F0F0D"/>
    <w:rPr>
      <w:b/>
      <w:noProof w:val="0"/>
      <w:lang w:val="en-AU"/>
    </w:rPr>
  </w:style>
  <w:style w:type="character" w:customStyle="1" w:styleId="ItalicCharacter">
    <w:name w:val="Italic Character"/>
    <w:basedOn w:val="DefaultParagraphFont"/>
    <w:uiPriority w:val="5"/>
    <w:qFormat/>
    <w:rsid w:val="003F0F0D"/>
    <w:rPr>
      <w:i/>
      <w:noProof w:val="0"/>
      <w:lang w:val="en-AU"/>
    </w:rPr>
  </w:style>
  <w:style w:type="paragraph" w:customStyle="1" w:styleId="Italic">
    <w:name w:val="Italic"/>
    <w:basedOn w:val="Normal"/>
    <w:uiPriority w:val="5"/>
    <w:qFormat/>
    <w:rsid w:val="008D080C"/>
    <w:rPr>
      <w:i/>
    </w:rPr>
  </w:style>
  <w:style w:type="paragraph" w:customStyle="1" w:styleId="CoverIntroductionText">
    <w:name w:val="Cover Introduction Text"/>
    <w:basedOn w:val="Normal"/>
    <w:uiPriority w:val="99"/>
    <w:qFormat/>
    <w:rsid w:val="005C0FD3"/>
    <w:rPr>
      <w:spacing w:val="-2"/>
    </w:rPr>
  </w:style>
  <w:style w:type="character" w:customStyle="1" w:styleId="Heading4Char">
    <w:name w:val="Heading 4 Char"/>
    <w:basedOn w:val="DefaultParagraphFont"/>
    <w:link w:val="Heading4"/>
    <w:uiPriority w:val="3"/>
    <w:rsid w:val="0003506B"/>
    <w:rPr>
      <w:rFonts w:asciiTheme="majorHAnsi" w:eastAsiaTheme="majorEastAsia" w:hAnsiTheme="majorHAnsi" w:cstheme="majorBidi"/>
      <w:b/>
      <w:bCs/>
      <w:iCs/>
      <w:color w:val="000000" w:themeColor="text1"/>
    </w:rPr>
  </w:style>
  <w:style w:type="paragraph" w:styleId="ListBullet">
    <w:name w:val="List Bullet"/>
    <w:basedOn w:val="Normal"/>
    <w:uiPriority w:val="9"/>
    <w:qFormat/>
    <w:rsid w:val="00301352"/>
    <w:pPr>
      <w:numPr>
        <w:numId w:val="28"/>
      </w:numPr>
    </w:pPr>
  </w:style>
  <w:style w:type="paragraph" w:styleId="ListBullet2">
    <w:name w:val="List Bullet 2"/>
    <w:basedOn w:val="ListBullet"/>
    <w:uiPriority w:val="9"/>
    <w:qFormat/>
    <w:rsid w:val="00301352"/>
    <w:pPr>
      <w:numPr>
        <w:ilvl w:val="1"/>
      </w:numPr>
    </w:pPr>
    <w:rPr>
      <w:color w:val="000000" w:themeColor="text1"/>
    </w:rPr>
  </w:style>
  <w:style w:type="paragraph" w:styleId="ListNumber">
    <w:name w:val="List Number"/>
    <w:basedOn w:val="Normal"/>
    <w:uiPriority w:val="9"/>
    <w:qFormat/>
    <w:rsid w:val="00E84A6B"/>
    <w:pPr>
      <w:numPr>
        <w:ilvl w:val="6"/>
        <w:numId w:val="35"/>
      </w:numPr>
    </w:pPr>
  </w:style>
  <w:style w:type="paragraph" w:styleId="ListNumber2">
    <w:name w:val="List Number 2"/>
    <w:basedOn w:val="Normal"/>
    <w:uiPriority w:val="9"/>
    <w:qFormat/>
    <w:rsid w:val="00E84A6B"/>
    <w:pPr>
      <w:numPr>
        <w:ilvl w:val="7"/>
        <w:numId w:val="35"/>
      </w:numPr>
    </w:pPr>
  </w:style>
  <w:style w:type="numbering" w:customStyle="1" w:styleId="Lists">
    <w:name w:val="Lists"/>
    <w:uiPriority w:val="99"/>
    <w:locked/>
    <w:rsid w:val="00CB4238"/>
    <w:pPr>
      <w:numPr>
        <w:numId w:val="10"/>
      </w:numPr>
    </w:pPr>
  </w:style>
  <w:style w:type="paragraph" w:styleId="ListNumber3">
    <w:name w:val="List Number 3"/>
    <w:basedOn w:val="Normal"/>
    <w:uiPriority w:val="9"/>
    <w:qFormat/>
    <w:rsid w:val="00EA48AE"/>
    <w:pPr>
      <w:numPr>
        <w:ilvl w:val="8"/>
        <w:numId w:val="35"/>
      </w:numPr>
    </w:pPr>
  </w:style>
  <w:style w:type="paragraph" w:styleId="Title">
    <w:name w:val="Title"/>
    <w:basedOn w:val="Normal"/>
    <w:next w:val="CoverSubtitle"/>
    <w:link w:val="TitleChar"/>
    <w:uiPriority w:val="99"/>
    <w:rsid w:val="00737D9E"/>
    <w:pPr>
      <w:spacing w:before="240" w:after="60"/>
    </w:pPr>
    <w:rPr>
      <w:rFonts w:eastAsiaTheme="majorEastAsia" w:cstheme="majorBidi"/>
      <w:color w:val="000000" w:themeColor="text2"/>
      <w:spacing w:val="-5"/>
      <w:sz w:val="44"/>
      <w:szCs w:val="52"/>
    </w:rPr>
  </w:style>
  <w:style w:type="character" w:customStyle="1" w:styleId="TitleChar">
    <w:name w:val="Title Char"/>
    <w:basedOn w:val="DefaultParagraphFont"/>
    <w:link w:val="Title"/>
    <w:uiPriority w:val="99"/>
    <w:rsid w:val="0003506B"/>
    <w:rPr>
      <w:rFonts w:eastAsiaTheme="majorEastAsia" w:cstheme="majorBidi"/>
      <w:color w:val="000000" w:themeColor="text2"/>
      <w:spacing w:val="-5"/>
      <w:sz w:val="44"/>
      <w:szCs w:val="52"/>
    </w:rPr>
  </w:style>
  <w:style w:type="paragraph" w:customStyle="1" w:styleId="InsertImage">
    <w:name w:val="Insert Image"/>
    <w:basedOn w:val="Normal"/>
    <w:next w:val="Caption"/>
    <w:semiHidden/>
    <w:qFormat/>
    <w:locked/>
    <w:rsid w:val="00EA48AE"/>
    <w:pPr>
      <w:spacing w:line="240" w:lineRule="auto"/>
    </w:pPr>
  </w:style>
  <w:style w:type="numbering" w:customStyle="1" w:styleId="MultiLevelheadinglist">
    <w:name w:val="Multi Level heading list"/>
    <w:uiPriority w:val="99"/>
    <w:rsid w:val="00D461C2"/>
    <w:pPr>
      <w:numPr>
        <w:numId w:val="12"/>
      </w:numPr>
    </w:pPr>
  </w:style>
  <w:style w:type="paragraph" w:styleId="TOC1">
    <w:name w:val="toc 1"/>
    <w:basedOn w:val="Normal"/>
    <w:next w:val="Normal"/>
    <w:autoRedefine/>
    <w:uiPriority w:val="39"/>
    <w:rsid w:val="001B758D"/>
    <w:pPr>
      <w:tabs>
        <w:tab w:val="left" w:pos="440"/>
        <w:tab w:val="right" w:leader="dot" w:pos="7655"/>
      </w:tabs>
      <w:spacing w:before="57" w:after="57"/>
    </w:pPr>
    <w:rPr>
      <w:color w:val="000000" w:themeColor="text1"/>
      <w:sz w:val="18"/>
    </w:rPr>
  </w:style>
  <w:style w:type="paragraph" w:styleId="TOCHeading">
    <w:name w:val="TOC Heading"/>
    <w:basedOn w:val="Heading1"/>
    <w:next w:val="Normal"/>
    <w:uiPriority w:val="39"/>
    <w:rsid w:val="00B86219"/>
    <w:pPr>
      <w:spacing w:before="0"/>
      <w:outlineLvl w:val="9"/>
    </w:pPr>
    <w:rPr>
      <w:b/>
    </w:rPr>
  </w:style>
  <w:style w:type="paragraph" w:styleId="Footer">
    <w:name w:val="footer"/>
    <w:basedOn w:val="Normal"/>
    <w:link w:val="FooterChar"/>
    <w:uiPriority w:val="99"/>
    <w:rsid w:val="002F4EBA"/>
    <w:pPr>
      <w:tabs>
        <w:tab w:val="center" w:pos="4513"/>
        <w:tab w:val="right" w:pos="9026"/>
      </w:tabs>
      <w:spacing w:line="200" w:lineRule="exact"/>
    </w:pPr>
    <w:rPr>
      <w:rFonts w:asciiTheme="majorHAnsi" w:hAnsiTheme="majorHAnsi"/>
      <w:color w:val="777777"/>
      <w:spacing w:val="-20"/>
      <w:sz w:val="15"/>
    </w:rPr>
  </w:style>
  <w:style w:type="character" w:customStyle="1" w:styleId="FooterChar">
    <w:name w:val="Footer Char"/>
    <w:basedOn w:val="DefaultParagraphFont"/>
    <w:link w:val="Footer"/>
    <w:uiPriority w:val="99"/>
    <w:rsid w:val="002F4EBA"/>
    <w:rPr>
      <w:rFonts w:asciiTheme="majorHAnsi" w:hAnsiTheme="majorHAnsi"/>
      <w:color w:val="777777"/>
      <w:spacing w:val="-20"/>
      <w:sz w:val="15"/>
    </w:rPr>
  </w:style>
  <w:style w:type="paragraph" w:styleId="ListBullet3">
    <w:name w:val="List Bullet 3"/>
    <w:basedOn w:val="Normal"/>
    <w:uiPriority w:val="9"/>
    <w:qFormat/>
    <w:rsid w:val="00301352"/>
    <w:pPr>
      <w:numPr>
        <w:ilvl w:val="2"/>
        <w:numId w:val="28"/>
      </w:numPr>
      <w:contextualSpacing/>
    </w:pPr>
  </w:style>
  <w:style w:type="paragraph" w:styleId="ListBullet4">
    <w:name w:val="List Bullet 4"/>
    <w:basedOn w:val="Normal"/>
    <w:uiPriority w:val="9"/>
    <w:qFormat/>
    <w:rsid w:val="00301352"/>
    <w:pPr>
      <w:numPr>
        <w:ilvl w:val="3"/>
        <w:numId w:val="28"/>
      </w:numPr>
      <w:contextualSpacing/>
    </w:pPr>
  </w:style>
  <w:style w:type="table" w:styleId="TableGrid">
    <w:name w:val="Table Grid"/>
    <w:basedOn w:val="TableNormal"/>
    <w:uiPriority w:val="59"/>
    <w:locked/>
    <w:rsid w:val="00413158"/>
    <w:pPr>
      <w:spacing w:before="57" w:line="240" w:lineRule="auto"/>
      <w:ind w:left="108" w:right="108"/>
    </w:pPr>
    <w:rPr>
      <w:sz w:val="17"/>
    </w:rPr>
    <w:tblP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
    <w:tcPr>
      <w:tcMar>
        <w:left w:w="0" w:type="dxa"/>
        <w:right w:w="0" w:type="dxa"/>
      </w:tcMar>
    </w:tcPr>
    <w:tblStylePr w:type="firstRow">
      <w:pPr>
        <w:wordWrap/>
        <w:spacing w:beforeLines="0" w:before="57" w:beforeAutospacing="0"/>
        <w:jc w:val="left"/>
      </w:pPr>
      <w:rPr>
        <w:rFonts w:asciiTheme="majorHAnsi" w:hAnsiTheme="majorHAnsi"/>
        <w:b/>
        <w:caps/>
        <w:smallCaps w:val="0"/>
        <w:sz w:val="20"/>
      </w:rPr>
      <w:tblPr/>
      <w:trPr>
        <w:tblHeader/>
      </w:trPr>
    </w:tblStylePr>
    <w:tblStylePr w:type="lastRow">
      <w:rPr>
        <w:b/>
      </w:rPr>
    </w:tblStylePr>
    <w:tblStylePr w:type="firstCol">
      <w:rPr>
        <w:b/>
        <w:caps/>
        <w:smallCaps w:val="0"/>
        <w:sz w:val="20"/>
      </w:rPr>
    </w:tblStylePr>
    <w:tblStylePr w:type="lastCol">
      <w:pPr>
        <w:jc w:val="right"/>
      </w:pPr>
    </w:tblStylePr>
  </w:style>
  <w:style w:type="paragraph" w:styleId="Caption">
    <w:name w:val="caption"/>
    <w:basedOn w:val="Normal"/>
    <w:next w:val="Normal"/>
    <w:uiPriority w:val="35"/>
    <w:qFormat/>
    <w:rsid w:val="0035681C"/>
    <w:pPr>
      <w:spacing w:before="113" w:after="240"/>
    </w:pPr>
    <w:rPr>
      <w:b/>
      <w:bCs/>
      <w:szCs w:val="18"/>
    </w:rPr>
  </w:style>
  <w:style w:type="paragraph" w:styleId="Header">
    <w:name w:val="header"/>
    <w:basedOn w:val="Normal"/>
    <w:link w:val="HeaderChar"/>
    <w:uiPriority w:val="99"/>
    <w:rsid w:val="00A33802"/>
    <w:pPr>
      <w:tabs>
        <w:tab w:val="center" w:pos="4513"/>
        <w:tab w:val="right" w:pos="9026"/>
      </w:tabs>
      <w:spacing w:after="0" w:line="240" w:lineRule="auto"/>
      <w:jc w:val="right"/>
    </w:pPr>
  </w:style>
  <w:style w:type="character" w:customStyle="1" w:styleId="HeaderChar">
    <w:name w:val="Header Char"/>
    <w:basedOn w:val="DefaultParagraphFont"/>
    <w:link w:val="Header"/>
    <w:uiPriority w:val="99"/>
    <w:rsid w:val="00A33802"/>
    <w:rPr>
      <w:noProof w:val="0"/>
      <w:lang w:val="en-AU"/>
    </w:rPr>
  </w:style>
  <w:style w:type="paragraph" w:styleId="BalloonText">
    <w:name w:val="Balloon Text"/>
    <w:basedOn w:val="Normal"/>
    <w:link w:val="BalloonTextChar"/>
    <w:uiPriority w:val="99"/>
    <w:semiHidden/>
    <w:unhideWhenUsed/>
    <w:locked/>
    <w:rsid w:val="00C636D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636DA"/>
    <w:rPr>
      <w:rFonts w:ascii="Tahoma" w:hAnsi="Tahoma" w:cs="Tahoma"/>
      <w:noProof w:val="0"/>
      <w:sz w:val="16"/>
      <w:szCs w:val="16"/>
      <w:lang w:val="en-AU"/>
    </w:rPr>
  </w:style>
  <w:style w:type="character" w:styleId="PlaceholderText">
    <w:name w:val="Placeholder Text"/>
    <w:basedOn w:val="DefaultParagraphFont"/>
    <w:uiPriority w:val="99"/>
    <w:unhideWhenUsed/>
    <w:rsid w:val="00764992"/>
    <w:rPr>
      <w:noProof w:val="0"/>
      <w:color w:val="808080"/>
      <w:sz w:val="16"/>
      <w:lang w:val="en-AU"/>
    </w:rPr>
  </w:style>
  <w:style w:type="paragraph" w:customStyle="1" w:styleId="Spacer">
    <w:name w:val="Spacer"/>
    <w:basedOn w:val="Normal"/>
    <w:semiHidden/>
    <w:locked/>
    <w:rsid w:val="00870BC6"/>
    <w:pPr>
      <w:spacing w:after="0" w:line="240" w:lineRule="auto"/>
    </w:pPr>
    <w:rPr>
      <w:sz w:val="2"/>
    </w:rPr>
  </w:style>
  <w:style w:type="paragraph" w:styleId="ListNumber4">
    <w:name w:val="List Number 4"/>
    <w:basedOn w:val="Normal"/>
    <w:uiPriority w:val="9"/>
    <w:semiHidden/>
    <w:locked/>
    <w:rsid w:val="00DA4C48"/>
    <w:pPr>
      <w:numPr>
        <w:numId w:val="19"/>
      </w:numPr>
      <w:ind w:left="1434" w:hanging="357"/>
      <w:contextualSpacing/>
    </w:pPr>
  </w:style>
  <w:style w:type="paragraph" w:customStyle="1" w:styleId="NotesHeading-Level1">
    <w:name w:val="Notes Heading - Level 1"/>
    <w:basedOn w:val="Normal"/>
    <w:next w:val="NotesHeading-Level2"/>
    <w:uiPriority w:val="15"/>
    <w:rsid w:val="00606EAB"/>
    <w:pPr>
      <w:numPr>
        <w:numId w:val="31"/>
      </w:numPr>
      <w:pBdr>
        <w:top w:val="single" w:sz="24" w:space="1" w:color="4D4D4D" w:themeColor="accent6"/>
        <w:left w:val="single" w:sz="24" w:space="4" w:color="4D4D4D" w:themeColor="accent6"/>
        <w:bottom w:val="single" w:sz="24" w:space="1" w:color="4D4D4D" w:themeColor="accent6"/>
        <w:right w:val="single" w:sz="24" w:space="4" w:color="4D4D4D" w:themeColor="accent6"/>
      </w:pBdr>
      <w:shd w:val="clear" w:color="auto" w:fill="4D4D4D" w:themeFill="accent6"/>
      <w:spacing w:before="240" w:after="240"/>
      <w:ind w:left="170" w:right="170"/>
      <w:outlineLvl w:val="0"/>
    </w:pPr>
    <w:rPr>
      <w:rFonts w:eastAsia="Times New Roman" w:cs="Times New Roman"/>
      <w:b/>
      <w:color w:val="FFFFFF" w:themeColor="background1"/>
    </w:rPr>
  </w:style>
  <w:style w:type="character" w:styleId="Hyperlink">
    <w:name w:val="Hyperlink"/>
    <w:basedOn w:val="DefaultParagraphFont"/>
    <w:uiPriority w:val="99"/>
    <w:rsid w:val="00E80011"/>
    <w:rPr>
      <w:noProof w:val="0"/>
      <w:color w:val="0000FF"/>
      <w:u w:val="single"/>
      <w:lang w:val="en-AU"/>
    </w:rPr>
  </w:style>
  <w:style w:type="numbering" w:customStyle="1" w:styleId="CustomList">
    <w:name w:val="Custom List"/>
    <w:uiPriority w:val="99"/>
    <w:rsid w:val="00301352"/>
    <w:pPr>
      <w:numPr>
        <w:numId w:val="24"/>
      </w:numPr>
    </w:pPr>
  </w:style>
  <w:style w:type="paragraph" w:styleId="Bibliography">
    <w:name w:val="Bibliography"/>
    <w:basedOn w:val="Normal"/>
    <w:next w:val="Normal"/>
    <w:uiPriority w:val="37"/>
    <w:semiHidden/>
    <w:unhideWhenUsed/>
    <w:locked/>
    <w:rsid w:val="00F80750"/>
  </w:style>
  <w:style w:type="paragraph" w:styleId="BlockText">
    <w:name w:val="Block Text"/>
    <w:basedOn w:val="Normal"/>
    <w:uiPriority w:val="99"/>
    <w:semiHidden/>
    <w:unhideWhenUsed/>
    <w:locked/>
    <w:rsid w:val="00F80750"/>
    <w:pPr>
      <w:pBdr>
        <w:top w:val="single" w:sz="2" w:space="10" w:color="DDDDDD" w:themeColor="accent1"/>
        <w:left w:val="single" w:sz="2" w:space="10" w:color="DDDDDD" w:themeColor="accent1"/>
        <w:bottom w:val="single" w:sz="2" w:space="10" w:color="DDDDDD" w:themeColor="accent1"/>
        <w:right w:val="single" w:sz="2" w:space="10" w:color="DDDDDD" w:themeColor="accent1"/>
      </w:pBdr>
      <w:ind w:left="1152" w:right="1152"/>
    </w:pPr>
    <w:rPr>
      <w:rFonts w:asciiTheme="minorHAnsi" w:eastAsiaTheme="minorEastAsia" w:hAnsiTheme="minorHAnsi"/>
      <w:i/>
      <w:iCs/>
      <w:color w:val="DDDDDD" w:themeColor="accent1"/>
    </w:rPr>
  </w:style>
  <w:style w:type="paragraph" w:styleId="BodyText">
    <w:name w:val="Body Text"/>
    <w:basedOn w:val="Normal"/>
    <w:link w:val="BodyTextChar"/>
    <w:qFormat/>
    <w:rsid w:val="00F80750"/>
    <w:pPr>
      <w:spacing w:after="120"/>
    </w:pPr>
  </w:style>
  <w:style w:type="character" w:customStyle="1" w:styleId="BodyTextChar">
    <w:name w:val="Body Text Char"/>
    <w:basedOn w:val="DefaultParagraphFont"/>
    <w:link w:val="BodyText"/>
    <w:rsid w:val="006965EA"/>
  </w:style>
  <w:style w:type="paragraph" w:styleId="BodyText2">
    <w:name w:val="Body Text 2"/>
    <w:basedOn w:val="Normal"/>
    <w:link w:val="BodyText2Char"/>
    <w:uiPriority w:val="99"/>
    <w:semiHidden/>
    <w:unhideWhenUsed/>
    <w:locked/>
    <w:rsid w:val="00F80750"/>
    <w:pPr>
      <w:spacing w:after="120" w:line="480" w:lineRule="auto"/>
    </w:pPr>
  </w:style>
  <w:style w:type="character" w:customStyle="1" w:styleId="BodyText2Char">
    <w:name w:val="Body Text 2 Char"/>
    <w:basedOn w:val="DefaultParagraphFont"/>
    <w:link w:val="BodyText2"/>
    <w:uiPriority w:val="99"/>
    <w:semiHidden/>
    <w:rsid w:val="00F80750"/>
    <w:rPr>
      <w:noProof w:val="0"/>
      <w:lang w:val="en-AU"/>
    </w:rPr>
  </w:style>
  <w:style w:type="paragraph" w:styleId="BodyText3">
    <w:name w:val="Body Text 3"/>
    <w:basedOn w:val="Normal"/>
    <w:link w:val="BodyText3Char"/>
    <w:uiPriority w:val="99"/>
    <w:semiHidden/>
    <w:unhideWhenUsed/>
    <w:locked/>
    <w:rsid w:val="00F80750"/>
    <w:pPr>
      <w:spacing w:after="120"/>
    </w:pPr>
    <w:rPr>
      <w:sz w:val="16"/>
      <w:szCs w:val="16"/>
    </w:rPr>
  </w:style>
  <w:style w:type="character" w:customStyle="1" w:styleId="BodyText3Char">
    <w:name w:val="Body Text 3 Char"/>
    <w:basedOn w:val="DefaultParagraphFont"/>
    <w:link w:val="BodyText3"/>
    <w:uiPriority w:val="99"/>
    <w:semiHidden/>
    <w:rsid w:val="00F80750"/>
    <w:rPr>
      <w:noProof w:val="0"/>
      <w:sz w:val="16"/>
      <w:szCs w:val="16"/>
      <w:lang w:val="en-AU"/>
    </w:rPr>
  </w:style>
  <w:style w:type="paragraph" w:styleId="BodyTextFirstIndent">
    <w:name w:val="Body Text First Indent"/>
    <w:basedOn w:val="BodyText"/>
    <w:link w:val="BodyTextFirstIndentChar"/>
    <w:uiPriority w:val="99"/>
    <w:semiHidden/>
    <w:unhideWhenUsed/>
    <w:locked/>
    <w:rsid w:val="00F80750"/>
    <w:pPr>
      <w:spacing w:after="170"/>
      <w:ind w:firstLine="360"/>
    </w:pPr>
  </w:style>
  <w:style w:type="character" w:customStyle="1" w:styleId="BodyTextFirstIndentChar">
    <w:name w:val="Body Text First Indent Char"/>
    <w:basedOn w:val="BodyTextChar"/>
    <w:link w:val="BodyTextFirstIndent"/>
    <w:uiPriority w:val="99"/>
    <w:semiHidden/>
    <w:rsid w:val="00F80750"/>
    <w:rPr>
      <w:noProof w:val="0"/>
      <w:lang w:val="en-AU"/>
    </w:rPr>
  </w:style>
  <w:style w:type="paragraph" w:styleId="BodyTextIndent">
    <w:name w:val="Body Text Indent"/>
    <w:basedOn w:val="Normal"/>
    <w:link w:val="BodyTextIndentChar"/>
    <w:uiPriority w:val="99"/>
    <w:semiHidden/>
    <w:unhideWhenUsed/>
    <w:locked/>
    <w:rsid w:val="00F80750"/>
    <w:pPr>
      <w:spacing w:after="120"/>
      <w:ind w:left="283"/>
    </w:pPr>
  </w:style>
  <w:style w:type="character" w:customStyle="1" w:styleId="BodyTextIndentChar">
    <w:name w:val="Body Text Indent Char"/>
    <w:basedOn w:val="DefaultParagraphFont"/>
    <w:link w:val="BodyTextIndent"/>
    <w:uiPriority w:val="99"/>
    <w:semiHidden/>
    <w:rsid w:val="00F80750"/>
    <w:rPr>
      <w:noProof w:val="0"/>
      <w:lang w:val="en-AU"/>
    </w:rPr>
  </w:style>
  <w:style w:type="paragraph" w:styleId="BodyTextFirstIndent2">
    <w:name w:val="Body Text First Indent 2"/>
    <w:basedOn w:val="BodyTextIndent"/>
    <w:link w:val="BodyTextFirstIndent2Char"/>
    <w:uiPriority w:val="99"/>
    <w:semiHidden/>
    <w:unhideWhenUsed/>
    <w:locked/>
    <w:rsid w:val="00F80750"/>
    <w:pPr>
      <w:spacing w:after="170"/>
      <w:ind w:left="360" w:firstLine="360"/>
    </w:pPr>
  </w:style>
  <w:style w:type="character" w:customStyle="1" w:styleId="BodyTextFirstIndent2Char">
    <w:name w:val="Body Text First Indent 2 Char"/>
    <w:basedOn w:val="BodyTextIndentChar"/>
    <w:link w:val="BodyTextFirstIndent2"/>
    <w:uiPriority w:val="99"/>
    <w:semiHidden/>
    <w:rsid w:val="00F80750"/>
    <w:rPr>
      <w:noProof w:val="0"/>
      <w:lang w:val="en-AU"/>
    </w:rPr>
  </w:style>
  <w:style w:type="paragraph" w:styleId="BodyTextIndent2">
    <w:name w:val="Body Text Indent 2"/>
    <w:basedOn w:val="Normal"/>
    <w:link w:val="BodyTextIndent2Char"/>
    <w:uiPriority w:val="99"/>
    <w:semiHidden/>
    <w:unhideWhenUsed/>
    <w:locked/>
    <w:rsid w:val="00F80750"/>
    <w:pPr>
      <w:spacing w:after="120" w:line="480" w:lineRule="auto"/>
      <w:ind w:left="283"/>
    </w:pPr>
  </w:style>
  <w:style w:type="character" w:customStyle="1" w:styleId="BodyTextIndent2Char">
    <w:name w:val="Body Text Indent 2 Char"/>
    <w:basedOn w:val="DefaultParagraphFont"/>
    <w:link w:val="BodyTextIndent2"/>
    <w:uiPriority w:val="99"/>
    <w:semiHidden/>
    <w:rsid w:val="00F80750"/>
    <w:rPr>
      <w:noProof w:val="0"/>
      <w:lang w:val="en-AU"/>
    </w:rPr>
  </w:style>
  <w:style w:type="paragraph" w:styleId="BodyTextIndent3">
    <w:name w:val="Body Text Indent 3"/>
    <w:basedOn w:val="Normal"/>
    <w:link w:val="BodyTextIndent3Char"/>
    <w:uiPriority w:val="99"/>
    <w:semiHidden/>
    <w:unhideWhenUsed/>
    <w:locked/>
    <w:rsid w:val="00F80750"/>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F80750"/>
    <w:rPr>
      <w:noProof w:val="0"/>
      <w:sz w:val="16"/>
      <w:szCs w:val="16"/>
      <w:lang w:val="en-AU"/>
    </w:rPr>
  </w:style>
  <w:style w:type="character" w:styleId="BookTitle">
    <w:name w:val="Book Title"/>
    <w:basedOn w:val="DefaultParagraphFont"/>
    <w:uiPriority w:val="33"/>
    <w:semiHidden/>
    <w:qFormat/>
    <w:locked/>
    <w:rsid w:val="00F80750"/>
    <w:rPr>
      <w:b/>
      <w:bCs/>
      <w:smallCaps/>
      <w:noProof w:val="0"/>
      <w:spacing w:val="5"/>
      <w:lang w:val="en-AU"/>
    </w:rPr>
  </w:style>
  <w:style w:type="paragraph" w:styleId="Closing">
    <w:name w:val="Closing"/>
    <w:basedOn w:val="Normal"/>
    <w:link w:val="ClosingChar"/>
    <w:uiPriority w:val="99"/>
    <w:semiHidden/>
    <w:unhideWhenUsed/>
    <w:locked/>
    <w:rsid w:val="00F80750"/>
    <w:pPr>
      <w:spacing w:after="0" w:line="240" w:lineRule="auto"/>
      <w:ind w:left="4252"/>
    </w:pPr>
  </w:style>
  <w:style w:type="character" w:customStyle="1" w:styleId="ClosingChar">
    <w:name w:val="Closing Char"/>
    <w:basedOn w:val="DefaultParagraphFont"/>
    <w:link w:val="Closing"/>
    <w:uiPriority w:val="99"/>
    <w:semiHidden/>
    <w:rsid w:val="00F80750"/>
    <w:rPr>
      <w:noProof w:val="0"/>
      <w:lang w:val="en-AU"/>
    </w:rPr>
  </w:style>
  <w:style w:type="table" w:styleId="ColorfulGrid">
    <w:name w:val="Colorful Grid"/>
    <w:basedOn w:val="TableNormal"/>
    <w:uiPriority w:val="73"/>
    <w:locked/>
    <w:rsid w:val="00F8075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locked/>
    <w:rsid w:val="00F8075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8F8F8" w:themeFill="accent1" w:themeFillTint="33"/>
    </w:tcPr>
    <w:tblStylePr w:type="firstRow">
      <w:rPr>
        <w:b/>
        <w:bCs/>
      </w:rPr>
      <w:tblPr/>
      <w:tcPr>
        <w:shd w:val="clear" w:color="auto" w:fill="F1F1F1" w:themeFill="accent1" w:themeFillTint="66"/>
      </w:tcPr>
    </w:tblStylePr>
    <w:tblStylePr w:type="lastRow">
      <w:rPr>
        <w:b/>
        <w:bCs/>
        <w:color w:val="000000" w:themeColor="text1"/>
      </w:rPr>
      <w:tblPr/>
      <w:tcPr>
        <w:shd w:val="clear" w:color="auto" w:fill="F1F1F1" w:themeFill="accent1" w:themeFillTint="66"/>
      </w:tcPr>
    </w:tblStylePr>
    <w:tblStylePr w:type="firstCol">
      <w:rPr>
        <w:color w:val="FFFFFF" w:themeColor="background1"/>
      </w:rPr>
      <w:tblPr/>
      <w:tcPr>
        <w:shd w:val="clear" w:color="auto" w:fill="A5A5A5" w:themeFill="accent1" w:themeFillShade="BF"/>
      </w:tcPr>
    </w:tblStylePr>
    <w:tblStylePr w:type="lastCol">
      <w:rPr>
        <w:color w:val="FFFFFF" w:themeColor="background1"/>
      </w:rPr>
      <w:tblPr/>
      <w:tcPr>
        <w:shd w:val="clear" w:color="auto" w:fill="A5A5A5" w:themeFill="accent1" w:themeFillShade="BF"/>
      </w:tcPr>
    </w:tblStylePr>
    <w:tblStylePr w:type="band1Vert">
      <w:tblPr/>
      <w:tcPr>
        <w:shd w:val="clear" w:color="auto" w:fill="EEEEEE" w:themeFill="accent1" w:themeFillTint="7F"/>
      </w:tcPr>
    </w:tblStylePr>
    <w:tblStylePr w:type="band1Horz">
      <w:tblPr/>
      <w:tcPr>
        <w:shd w:val="clear" w:color="auto" w:fill="EEEEEE" w:themeFill="accent1" w:themeFillTint="7F"/>
      </w:tcPr>
    </w:tblStylePr>
  </w:style>
  <w:style w:type="table" w:styleId="ColorfulGrid-Accent2">
    <w:name w:val="Colorful Grid Accent 2"/>
    <w:basedOn w:val="TableNormal"/>
    <w:uiPriority w:val="73"/>
    <w:locked/>
    <w:rsid w:val="00F8075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FEFEF" w:themeFill="accent2" w:themeFillTint="33"/>
    </w:tcPr>
    <w:tblStylePr w:type="firstRow">
      <w:rPr>
        <w:b/>
        <w:bCs/>
      </w:rPr>
      <w:tblPr/>
      <w:tcPr>
        <w:shd w:val="clear" w:color="auto" w:fill="E0E0E0" w:themeFill="accent2" w:themeFillTint="66"/>
      </w:tcPr>
    </w:tblStylePr>
    <w:tblStylePr w:type="lastRow">
      <w:rPr>
        <w:b/>
        <w:bCs/>
        <w:color w:val="000000" w:themeColor="text1"/>
      </w:rPr>
      <w:tblPr/>
      <w:tcPr>
        <w:shd w:val="clear" w:color="auto" w:fill="E0E0E0" w:themeFill="accent2" w:themeFillTint="66"/>
      </w:tcPr>
    </w:tblStylePr>
    <w:tblStylePr w:type="firstCol">
      <w:rPr>
        <w:color w:val="FFFFFF" w:themeColor="background1"/>
      </w:rPr>
      <w:tblPr/>
      <w:tcPr>
        <w:shd w:val="clear" w:color="auto" w:fill="858585" w:themeFill="accent2" w:themeFillShade="BF"/>
      </w:tcPr>
    </w:tblStylePr>
    <w:tblStylePr w:type="lastCol">
      <w:rPr>
        <w:color w:val="FFFFFF" w:themeColor="background1"/>
      </w:rPr>
      <w:tblPr/>
      <w:tcPr>
        <w:shd w:val="clear" w:color="auto" w:fill="858585" w:themeFill="accent2" w:themeFillShade="BF"/>
      </w:tcPr>
    </w:tblStylePr>
    <w:tblStylePr w:type="band1Vert">
      <w:tblPr/>
      <w:tcPr>
        <w:shd w:val="clear" w:color="auto" w:fill="D8D8D8" w:themeFill="accent2" w:themeFillTint="7F"/>
      </w:tcPr>
    </w:tblStylePr>
    <w:tblStylePr w:type="band1Horz">
      <w:tblPr/>
      <w:tcPr>
        <w:shd w:val="clear" w:color="auto" w:fill="D8D8D8" w:themeFill="accent2" w:themeFillTint="7F"/>
      </w:tcPr>
    </w:tblStylePr>
  </w:style>
  <w:style w:type="table" w:styleId="ColorfulGrid-Accent3">
    <w:name w:val="Colorful Grid Accent 3"/>
    <w:basedOn w:val="TableNormal"/>
    <w:uiPriority w:val="73"/>
    <w:locked/>
    <w:rsid w:val="00F8075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EAEA" w:themeFill="accent3" w:themeFillTint="33"/>
    </w:tcPr>
    <w:tblStylePr w:type="firstRow">
      <w:rPr>
        <w:b/>
        <w:bCs/>
      </w:rPr>
      <w:tblPr/>
      <w:tcPr>
        <w:shd w:val="clear" w:color="auto" w:fill="D5D5D5" w:themeFill="accent3" w:themeFillTint="66"/>
      </w:tcPr>
    </w:tblStylePr>
    <w:tblStylePr w:type="lastRow">
      <w:rPr>
        <w:b/>
        <w:bCs/>
        <w:color w:val="000000" w:themeColor="text1"/>
      </w:rPr>
      <w:tblPr/>
      <w:tcPr>
        <w:shd w:val="clear" w:color="auto" w:fill="D5D5D5" w:themeFill="accent3" w:themeFillTint="66"/>
      </w:tcPr>
    </w:tblStylePr>
    <w:tblStylePr w:type="firstCol">
      <w:rPr>
        <w:color w:val="FFFFFF" w:themeColor="background1"/>
      </w:rPr>
      <w:tblPr/>
      <w:tcPr>
        <w:shd w:val="clear" w:color="auto" w:fill="707070" w:themeFill="accent3" w:themeFillShade="BF"/>
      </w:tcPr>
    </w:tblStylePr>
    <w:tblStylePr w:type="lastCol">
      <w:rPr>
        <w:color w:val="FFFFFF" w:themeColor="background1"/>
      </w:rPr>
      <w:tblPr/>
      <w:tcPr>
        <w:shd w:val="clear" w:color="auto" w:fill="707070" w:themeFill="accent3" w:themeFillShade="BF"/>
      </w:tcPr>
    </w:tblStylePr>
    <w:tblStylePr w:type="band1Vert">
      <w:tblPr/>
      <w:tcPr>
        <w:shd w:val="clear" w:color="auto" w:fill="CACACA" w:themeFill="accent3" w:themeFillTint="7F"/>
      </w:tcPr>
    </w:tblStylePr>
    <w:tblStylePr w:type="band1Horz">
      <w:tblPr/>
      <w:tcPr>
        <w:shd w:val="clear" w:color="auto" w:fill="CACACA" w:themeFill="accent3" w:themeFillTint="7F"/>
      </w:tcPr>
    </w:tblStylePr>
  </w:style>
  <w:style w:type="table" w:styleId="ColorfulGrid-Accent4">
    <w:name w:val="Colorful Grid Accent 4"/>
    <w:basedOn w:val="TableNormal"/>
    <w:uiPriority w:val="73"/>
    <w:locked/>
    <w:rsid w:val="00F8075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E5E5" w:themeFill="accent4" w:themeFillTint="33"/>
    </w:tcPr>
    <w:tblStylePr w:type="firstRow">
      <w:rPr>
        <w:b/>
        <w:bCs/>
      </w:rPr>
      <w:tblPr/>
      <w:tcPr>
        <w:shd w:val="clear" w:color="auto" w:fill="CCCCCC" w:themeFill="accent4" w:themeFillTint="66"/>
      </w:tcPr>
    </w:tblStylePr>
    <w:tblStylePr w:type="lastRow">
      <w:rPr>
        <w:b/>
        <w:bCs/>
        <w:color w:val="000000" w:themeColor="text1"/>
      </w:rPr>
      <w:tblPr/>
      <w:tcPr>
        <w:shd w:val="clear" w:color="auto" w:fill="CCCCCC" w:themeFill="accent4" w:themeFillTint="66"/>
      </w:tcPr>
    </w:tblStylePr>
    <w:tblStylePr w:type="firstCol">
      <w:rPr>
        <w:color w:val="FFFFFF" w:themeColor="background1"/>
      </w:rPr>
      <w:tblPr/>
      <w:tcPr>
        <w:shd w:val="clear" w:color="auto" w:fill="5F5F5F" w:themeFill="accent4" w:themeFillShade="BF"/>
      </w:tcPr>
    </w:tblStylePr>
    <w:tblStylePr w:type="lastCol">
      <w:rPr>
        <w:color w:val="FFFFFF" w:themeColor="background1"/>
      </w:rPr>
      <w:tblPr/>
      <w:tcPr>
        <w:shd w:val="clear" w:color="auto" w:fill="5F5F5F" w:themeFill="accent4" w:themeFillShade="BF"/>
      </w:tcPr>
    </w:tblStylePr>
    <w:tblStylePr w:type="band1Vert">
      <w:tblPr/>
      <w:tcPr>
        <w:shd w:val="clear" w:color="auto" w:fill="BFBFBF" w:themeFill="accent4" w:themeFillTint="7F"/>
      </w:tcPr>
    </w:tblStylePr>
    <w:tblStylePr w:type="band1Horz">
      <w:tblPr/>
      <w:tcPr>
        <w:shd w:val="clear" w:color="auto" w:fill="BFBFBF" w:themeFill="accent4" w:themeFillTint="7F"/>
      </w:tcPr>
    </w:tblStylePr>
  </w:style>
  <w:style w:type="table" w:styleId="ColorfulGrid-Accent5">
    <w:name w:val="Colorful Grid Accent 5"/>
    <w:basedOn w:val="TableNormal"/>
    <w:uiPriority w:val="73"/>
    <w:locked/>
    <w:rsid w:val="00F8075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FDFDF" w:themeFill="accent5" w:themeFillTint="33"/>
    </w:tcPr>
    <w:tblStylePr w:type="firstRow">
      <w:rPr>
        <w:b/>
        <w:bCs/>
      </w:rPr>
      <w:tblPr/>
      <w:tcPr>
        <w:shd w:val="clear" w:color="auto" w:fill="BFBFBF" w:themeFill="accent5" w:themeFillTint="66"/>
      </w:tcPr>
    </w:tblStylePr>
    <w:tblStylePr w:type="lastRow">
      <w:rPr>
        <w:b/>
        <w:bCs/>
        <w:color w:val="000000" w:themeColor="text1"/>
      </w:rPr>
      <w:tblPr/>
      <w:tcPr>
        <w:shd w:val="clear" w:color="auto" w:fill="BFBFBF" w:themeFill="accent5" w:themeFillTint="66"/>
      </w:tcPr>
    </w:tblStylePr>
    <w:tblStylePr w:type="firstCol">
      <w:rPr>
        <w:color w:val="FFFFFF" w:themeColor="background1"/>
      </w:rPr>
      <w:tblPr/>
      <w:tcPr>
        <w:shd w:val="clear" w:color="auto" w:fill="474747" w:themeFill="accent5" w:themeFillShade="BF"/>
      </w:tcPr>
    </w:tblStylePr>
    <w:tblStylePr w:type="lastCol">
      <w:rPr>
        <w:color w:val="FFFFFF" w:themeColor="background1"/>
      </w:rPr>
      <w:tblPr/>
      <w:tcPr>
        <w:shd w:val="clear" w:color="auto" w:fill="474747" w:themeFill="accent5" w:themeFillShade="BF"/>
      </w:tcPr>
    </w:tblStylePr>
    <w:tblStylePr w:type="band1Vert">
      <w:tblPr/>
      <w:tcPr>
        <w:shd w:val="clear" w:color="auto" w:fill="AFAFAF" w:themeFill="accent5" w:themeFillTint="7F"/>
      </w:tcPr>
    </w:tblStylePr>
    <w:tblStylePr w:type="band1Horz">
      <w:tblPr/>
      <w:tcPr>
        <w:shd w:val="clear" w:color="auto" w:fill="AFAFAF" w:themeFill="accent5" w:themeFillTint="7F"/>
      </w:tcPr>
    </w:tblStylePr>
  </w:style>
  <w:style w:type="table" w:styleId="ColorfulGrid-Accent6">
    <w:name w:val="Colorful Grid Accent 6"/>
    <w:basedOn w:val="TableNormal"/>
    <w:uiPriority w:val="73"/>
    <w:locked/>
    <w:rsid w:val="00F8075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DBDB" w:themeFill="accent6" w:themeFillTint="33"/>
    </w:tcPr>
    <w:tblStylePr w:type="firstRow">
      <w:rPr>
        <w:b/>
        <w:bCs/>
      </w:rPr>
      <w:tblPr/>
      <w:tcPr>
        <w:shd w:val="clear" w:color="auto" w:fill="B7B7B7" w:themeFill="accent6" w:themeFillTint="66"/>
      </w:tcPr>
    </w:tblStylePr>
    <w:tblStylePr w:type="lastRow">
      <w:rPr>
        <w:b/>
        <w:bCs/>
        <w:color w:val="000000" w:themeColor="text1"/>
      </w:rPr>
      <w:tblPr/>
      <w:tcPr>
        <w:shd w:val="clear" w:color="auto" w:fill="B7B7B7" w:themeFill="accent6" w:themeFillTint="66"/>
      </w:tcPr>
    </w:tblStylePr>
    <w:tblStylePr w:type="firstCol">
      <w:rPr>
        <w:color w:val="FFFFFF" w:themeColor="background1"/>
      </w:rPr>
      <w:tblPr/>
      <w:tcPr>
        <w:shd w:val="clear" w:color="auto" w:fill="393939" w:themeFill="accent6" w:themeFillShade="BF"/>
      </w:tcPr>
    </w:tblStylePr>
    <w:tblStylePr w:type="lastCol">
      <w:rPr>
        <w:color w:val="FFFFFF" w:themeColor="background1"/>
      </w:rPr>
      <w:tblPr/>
      <w:tcPr>
        <w:shd w:val="clear" w:color="auto" w:fill="393939" w:themeFill="accent6" w:themeFillShade="BF"/>
      </w:tcPr>
    </w:tblStylePr>
    <w:tblStylePr w:type="band1Vert">
      <w:tblPr/>
      <w:tcPr>
        <w:shd w:val="clear" w:color="auto" w:fill="A6A6A6" w:themeFill="accent6" w:themeFillTint="7F"/>
      </w:tcPr>
    </w:tblStylePr>
    <w:tblStylePr w:type="band1Horz">
      <w:tblPr/>
      <w:tcPr>
        <w:shd w:val="clear" w:color="auto" w:fill="A6A6A6" w:themeFill="accent6" w:themeFillTint="7F"/>
      </w:tcPr>
    </w:tblStylePr>
  </w:style>
  <w:style w:type="table" w:styleId="ColorfulList">
    <w:name w:val="Colorful List"/>
    <w:basedOn w:val="TableNormal"/>
    <w:uiPriority w:val="72"/>
    <w:locked/>
    <w:rsid w:val="00F80750"/>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8E8E8E" w:themeFill="accent2" w:themeFillShade="CC"/>
      </w:tcPr>
    </w:tblStylePr>
    <w:tblStylePr w:type="lastRow">
      <w:rPr>
        <w:b/>
        <w:bCs/>
        <w:color w:val="8E8E8E"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locked/>
    <w:rsid w:val="00F80750"/>
    <w:pPr>
      <w:spacing w:after="0" w:line="240" w:lineRule="auto"/>
    </w:pPr>
    <w:rPr>
      <w:color w:val="000000" w:themeColor="text1"/>
    </w:rPr>
    <w:tblPr>
      <w:tblStyleRowBandSize w:val="1"/>
      <w:tblStyleColBandSize w:val="1"/>
    </w:tblPr>
    <w:tcPr>
      <w:shd w:val="clear" w:color="auto" w:fill="FBFBFB" w:themeFill="accent1" w:themeFillTint="19"/>
    </w:tcPr>
    <w:tblStylePr w:type="firstRow">
      <w:rPr>
        <w:b/>
        <w:bCs/>
        <w:color w:val="FFFFFF" w:themeColor="background1"/>
      </w:rPr>
      <w:tblPr/>
      <w:tcPr>
        <w:tcBorders>
          <w:bottom w:val="single" w:sz="12" w:space="0" w:color="FFFFFF" w:themeColor="background1"/>
        </w:tcBorders>
        <w:shd w:val="clear" w:color="auto" w:fill="8E8E8E" w:themeFill="accent2" w:themeFillShade="CC"/>
      </w:tcPr>
    </w:tblStylePr>
    <w:tblStylePr w:type="lastRow">
      <w:rPr>
        <w:b/>
        <w:bCs/>
        <w:color w:val="8E8E8E"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6F6F6" w:themeFill="accent1" w:themeFillTint="3F"/>
      </w:tcPr>
    </w:tblStylePr>
    <w:tblStylePr w:type="band1Horz">
      <w:tblPr/>
      <w:tcPr>
        <w:shd w:val="clear" w:color="auto" w:fill="F8F8F8" w:themeFill="accent1" w:themeFillTint="33"/>
      </w:tcPr>
    </w:tblStylePr>
  </w:style>
  <w:style w:type="table" w:styleId="ColorfulList-Accent2">
    <w:name w:val="Colorful List Accent 2"/>
    <w:basedOn w:val="TableNormal"/>
    <w:uiPriority w:val="72"/>
    <w:locked/>
    <w:rsid w:val="00F80750"/>
    <w:pPr>
      <w:spacing w:after="0" w:line="240" w:lineRule="auto"/>
    </w:pPr>
    <w:rPr>
      <w:color w:val="000000" w:themeColor="text1"/>
    </w:rPr>
    <w:tblPr>
      <w:tblStyleRowBandSize w:val="1"/>
      <w:tblStyleColBandSize w:val="1"/>
    </w:tblPr>
    <w:tcPr>
      <w:shd w:val="clear" w:color="auto" w:fill="F7F7F7" w:themeFill="accent2" w:themeFillTint="19"/>
    </w:tcPr>
    <w:tblStylePr w:type="firstRow">
      <w:rPr>
        <w:b/>
        <w:bCs/>
        <w:color w:val="FFFFFF" w:themeColor="background1"/>
      </w:rPr>
      <w:tblPr/>
      <w:tcPr>
        <w:tcBorders>
          <w:bottom w:val="single" w:sz="12" w:space="0" w:color="FFFFFF" w:themeColor="background1"/>
        </w:tcBorders>
        <w:shd w:val="clear" w:color="auto" w:fill="8E8E8E" w:themeFill="accent2" w:themeFillShade="CC"/>
      </w:tcPr>
    </w:tblStylePr>
    <w:tblStylePr w:type="lastRow">
      <w:rPr>
        <w:b/>
        <w:bCs/>
        <w:color w:val="8E8E8E"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EBEB" w:themeFill="accent2" w:themeFillTint="3F"/>
      </w:tcPr>
    </w:tblStylePr>
    <w:tblStylePr w:type="band1Horz">
      <w:tblPr/>
      <w:tcPr>
        <w:shd w:val="clear" w:color="auto" w:fill="EFEFEF" w:themeFill="accent2" w:themeFillTint="33"/>
      </w:tcPr>
    </w:tblStylePr>
  </w:style>
  <w:style w:type="table" w:styleId="ColorfulList-Accent3">
    <w:name w:val="Colorful List Accent 3"/>
    <w:basedOn w:val="TableNormal"/>
    <w:uiPriority w:val="72"/>
    <w:locked/>
    <w:rsid w:val="00F80750"/>
    <w:pPr>
      <w:spacing w:after="0" w:line="240" w:lineRule="auto"/>
    </w:pPr>
    <w:rPr>
      <w:color w:val="000000" w:themeColor="text1"/>
    </w:rPr>
    <w:tblPr>
      <w:tblStyleRowBandSize w:val="1"/>
      <w:tblStyleColBandSize w:val="1"/>
    </w:tblPr>
    <w:tcPr>
      <w:shd w:val="clear" w:color="auto" w:fill="F4F4F4" w:themeFill="accent3" w:themeFillTint="19"/>
    </w:tcPr>
    <w:tblStylePr w:type="firstRow">
      <w:rPr>
        <w:b/>
        <w:bCs/>
        <w:color w:val="FFFFFF" w:themeColor="background1"/>
      </w:rPr>
      <w:tblPr/>
      <w:tcPr>
        <w:tcBorders>
          <w:bottom w:val="single" w:sz="12" w:space="0" w:color="FFFFFF" w:themeColor="background1"/>
        </w:tcBorders>
        <w:shd w:val="clear" w:color="auto" w:fill="666666" w:themeFill="accent4" w:themeFillShade="CC"/>
      </w:tcPr>
    </w:tblStylePr>
    <w:tblStylePr w:type="lastRow">
      <w:rPr>
        <w:b/>
        <w:bCs/>
        <w:color w:val="666666"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5E5E5" w:themeFill="accent3" w:themeFillTint="3F"/>
      </w:tcPr>
    </w:tblStylePr>
    <w:tblStylePr w:type="band1Horz">
      <w:tblPr/>
      <w:tcPr>
        <w:shd w:val="clear" w:color="auto" w:fill="EAEAEA" w:themeFill="accent3" w:themeFillTint="33"/>
      </w:tcPr>
    </w:tblStylePr>
  </w:style>
  <w:style w:type="table" w:styleId="ColorfulList-Accent4">
    <w:name w:val="Colorful List Accent 4"/>
    <w:basedOn w:val="TableNormal"/>
    <w:uiPriority w:val="72"/>
    <w:locked/>
    <w:rsid w:val="00F80750"/>
    <w:pPr>
      <w:spacing w:after="0" w:line="240" w:lineRule="auto"/>
    </w:pPr>
    <w:rPr>
      <w:color w:val="000000" w:themeColor="text1"/>
    </w:rPr>
    <w:tblPr>
      <w:tblStyleRowBandSize w:val="1"/>
      <w:tblStyleColBandSize w:val="1"/>
    </w:tblPr>
    <w:tcPr>
      <w:shd w:val="clear" w:color="auto" w:fill="F2F2F2" w:themeFill="accent4" w:themeFillTint="19"/>
    </w:tcPr>
    <w:tblStylePr w:type="firstRow">
      <w:rPr>
        <w:b/>
        <w:bCs/>
        <w:color w:val="FFFFFF" w:themeColor="background1"/>
      </w:rPr>
      <w:tblPr/>
      <w:tcPr>
        <w:tcBorders>
          <w:bottom w:val="single" w:sz="12" w:space="0" w:color="FFFFFF" w:themeColor="background1"/>
        </w:tcBorders>
        <w:shd w:val="clear" w:color="auto" w:fill="787878" w:themeFill="accent3" w:themeFillShade="CC"/>
      </w:tcPr>
    </w:tblStylePr>
    <w:tblStylePr w:type="lastRow">
      <w:rPr>
        <w:b/>
        <w:bCs/>
        <w:color w:val="787878"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FDF" w:themeFill="accent4" w:themeFillTint="3F"/>
      </w:tcPr>
    </w:tblStylePr>
    <w:tblStylePr w:type="band1Horz">
      <w:tblPr/>
      <w:tcPr>
        <w:shd w:val="clear" w:color="auto" w:fill="E5E5E5" w:themeFill="accent4" w:themeFillTint="33"/>
      </w:tcPr>
    </w:tblStylePr>
  </w:style>
  <w:style w:type="table" w:styleId="ColorfulList-Accent5">
    <w:name w:val="Colorful List Accent 5"/>
    <w:basedOn w:val="TableNormal"/>
    <w:uiPriority w:val="72"/>
    <w:locked/>
    <w:rsid w:val="00F80750"/>
    <w:pPr>
      <w:spacing w:after="0" w:line="240" w:lineRule="auto"/>
    </w:pPr>
    <w:rPr>
      <w:color w:val="000000" w:themeColor="text1"/>
    </w:rPr>
    <w:tblPr>
      <w:tblStyleRowBandSize w:val="1"/>
      <w:tblStyleColBandSize w:val="1"/>
    </w:tblPr>
    <w:tcPr>
      <w:shd w:val="clear" w:color="auto" w:fill="EFEFEF" w:themeFill="accent5" w:themeFillTint="19"/>
    </w:tcPr>
    <w:tblStylePr w:type="firstRow">
      <w:rPr>
        <w:b/>
        <w:bCs/>
        <w:color w:val="FFFFFF" w:themeColor="background1"/>
      </w:rPr>
      <w:tblPr/>
      <w:tcPr>
        <w:tcBorders>
          <w:bottom w:val="single" w:sz="12" w:space="0" w:color="FFFFFF" w:themeColor="background1"/>
        </w:tcBorders>
        <w:shd w:val="clear" w:color="auto" w:fill="3D3D3D" w:themeFill="accent6" w:themeFillShade="CC"/>
      </w:tcPr>
    </w:tblStylePr>
    <w:tblStylePr w:type="lastRow">
      <w:rPr>
        <w:b/>
        <w:bCs/>
        <w:color w:val="3D3D3D"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D7D7" w:themeFill="accent5" w:themeFillTint="3F"/>
      </w:tcPr>
    </w:tblStylePr>
    <w:tblStylePr w:type="band1Horz">
      <w:tblPr/>
      <w:tcPr>
        <w:shd w:val="clear" w:color="auto" w:fill="DFDFDF" w:themeFill="accent5" w:themeFillTint="33"/>
      </w:tcPr>
    </w:tblStylePr>
  </w:style>
  <w:style w:type="table" w:styleId="ColorfulList-Accent6">
    <w:name w:val="Colorful List Accent 6"/>
    <w:basedOn w:val="TableNormal"/>
    <w:uiPriority w:val="72"/>
    <w:locked/>
    <w:rsid w:val="00F80750"/>
    <w:pPr>
      <w:spacing w:after="0" w:line="240" w:lineRule="auto"/>
    </w:pPr>
    <w:rPr>
      <w:color w:val="000000" w:themeColor="text1"/>
    </w:rPr>
    <w:tblPr>
      <w:tblStyleRowBandSize w:val="1"/>
      <w:tblStyleColBandSize w:val="1"/>
    </w:tblPr>
    <w:tcPr>
      <w:shd w:val="clear" w:color="auto" w:fill="EDEDED" w:themeFill="accent6" w:themeFillTint="19"/>
    </w:tcPr>
    <w:tblStylePr w:type="firstRow">
      <w:rPr>
        <w:b/>
        <w:bCs/>
        <w:color w:val="FFFFFF" w:themeColor="background1"/>
      </w:rPr>
      <w:tblPr/>
      <w:tcPr>
        <w:tcBorders>
          <w:bottom w:val="single" w:sz="12" w:space="0" w:color="FFFFFF" w:themeColor="background1"/>
        </w:tcBorders>
        <w:shd w:val="clear" w:color="auto" w:fill="4C4C4C" w:themeFill="accent5" w:themeFillShade="CC"/>
      </w:tcPr>
    </w:tblStylePr>
    <w:tblStylePr w:type="lastRow">
      <w:rPr>
        <w:b/>
        <w:bCs/>
        <w:color w:val="4C4C4C"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3D3" w:themeFill="accent6" w:themeFillTint="3F"/>
      </w:tcPr>
    </w:tblStylePr>
    <w:tblStylePr w:type="band1Horz">
      <w:tblPr/>
      <w:tcPr>
        <w:shd w:val="clear" w:color="auto" w:fill="DBDBDB" w:themeFill="accent6" w:themeFillTint="33"/>
      </w:tcPr>
    </w:tblStylePr>
  </w:style>
  <w:style w:type="table" w:styleId="ColorfulShading">
    <w:name w:val="Colorful Shading"/>
    <w:basedOn w:val="TableNormal"/>
    <w:uiPriority w:val="71"/>
    <w:locked/>
    <w:rsid w:val="00F80750"/>
    <w:pPr>
      <w:spacing w:after="0" w:line="240" w:lineRule="auto"/>
    </w:pPr>
    <w:rPr>
      <w:color w:val="000000" w:themeColor="text1"/>
    </w:rPr>
    <w:tblPr>
      <w:tblStyleRowBandSize w:val="1"/>
      <w:tblStyleColBandSize w:val="1"/>
      <w:tblBorders>
        <w:top w:val="single" w:sz="24" w:space="0" w:color="B2B2B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2B2B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locked/>
    <w:rsid w:val="00F80750"/>
    <w:pPr>
      <w:spacing w:after="0" w:line="240" w:lineRule="auto"/>
    </w:pPr>
    <w:rPr>
      <w:color w:val="000000" w:themeColor="text1"/>
    </w:rPr>
    <w:tblPr>
      <w:tblStyleRowBandSize w:val="1"/>
      <w:tblStyleColBandSize w:val="1"/>
      <w:tblBorders>
        <w:top w:val="single" w:sz="24" w:space="0" w:color="B2B2B2" w:themeColor="accent2"/>
        <w:left w:val="single" w:sz="4" w:space="0" w:color="DDDDDD" w:themeColor="accent1"/>
        <w:bottom w:val="single" w:sz="4" w:space="0" w:color="DDDDDD" w:themeColor="accent1"/>
        <w:right w:val="single" w:sz="4" w:space="0" w:color="DDDDDD" w:themeColor="accent1"/>
        <w:insideH w:val="single" w:sz="4" w:space="0" w:color="FFFFFF" w:themeColor="background1"/>
        <w:insideV w:val="single" w:sz="4" w:space="0" w:color="FFFFFF" w:themeColor="background1"/>
      </w:tblBorders>
    </w:tblPr>
    <w:tcPr>
      <w:shd w:val="clear" w:color="auto" w:fill="FBFBFB" w:themeFill="accent1" w:themeFillTint="19"/>
    </w:tcPr>
    <w:tblStylePr w:type="firstRow">
      <w:rPr>
        <w:b/>
        <w:bCs/>
      </w:rPr>
      <w:tblPr/>
      <w:tcPr>
        <w:tcBorders>
          <w:top w:val="nil"/>
          <w:left w:val="nil"/>
          <w:bottom w:val="single" w:sz="24" w:space="0" w:color="B2B2B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48484" w:themeFill="accent1" w:themeFillShade="99"/>
      </w:tcPr>
    </w:tblStylePr>
    <w:tblStylePr w:type="firstCol">
      <w:rPr>
        <w:color w:val="FFFFFF" w:themeColor="background1"/>
      </w:rPr>
      <w:tblPr/>
      <w:tcPr>
        <w:tcBorders>
          <w:top w:val="nil"/>
          <w:left w:val="nil"/>
          <w:bottom w:val="nil"/>
          <w:right w:val="nil"/>
          <w:insideH w:val="single" w:sz="4" w:space="0" w:color="848484" w:themeColor="accent1" w:themeShade="99"/>
          <w:insideV w:val="nil"/>
        </w:tcBorders>
        <w:shd w:val="clear" w:color="auto" w:fill="84848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848484" w:themeFill="accent1" w:themeFillShade="99"/>
      </w:tcPr>
    </w:tblStylePr>
    <w:tblStylePr w:type="band1Vert">
      <w:tblPr/>
      <w:tcPr>
        <w:shd w:val="clear" w:color="auto" w:fill="F1F1F1" w:themeFill="accent1" w:themeFillTint="66"/>
      </w:tcPr>
    </w:tblStylePr>
    <w:tblStylePr w:type="band1Horz">
      <w:tblPr/>
      <w:tcPr>
        <w:shd w:val="clear" w:color="auto" w:fill="EEEEE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locked/>
    <w:rsid w:val="00F80750"/>
    <w:pPr>
      <w:spacing w:after="0" w:line="240" w:lineRule="auto"/>
    </w:pPr>
    <w:rPr>
      <w:color w:val="000000" w:themeColor="text1"/>
    </w:rPr>
    <w:tblPr>
      <w:tblStyleRowBandSize w:val="1"/>
      <w:tblStyleColBandSize w:val="1"/>
      <w:tblBorders>
        <w:top w:val="single" w:sz="24" w:space="0" w:color="B2B2B2" w:themeColor="accent2"/>
        <w:left w:val="single" w:sz="4" w:space="0" w:color="B2B2B2" w:themeColor="accent2"/>
        <w:bottom w:val="single" w:sz="4" w:space="0" w:color="B2B2B2" w:themeColor="accent2"/>
        <w:right w:val="single" w:sz="4" w:space="0" w:color="B2B2B2" w:themeColor="accent2"/>
        <w:insideH w:val="single" w:sz="4" w:space="0" w:color="FFFFFF" w:themeColor="background1"/>
        <w:insideV w:val="single" w:sz="4" w:space="0" w:color="FFFFFF" w:themeColor="background1"/>
      </w:tblBorders>
    </w:tblPr>
    <w:tcPr>
      <w:shd w:val="clear" w:color="auto" w:fill="F7F7F7" w:themeFill="accent2" w:themeFillTint="19"/>
    </w:tcPr>
    <w:tblStylePr w:type="firstRow">
      <w:rPr>
        <w:b/>
        <w:bCs/>
      </w:rPr>
      <w:tblPr/>
      <w:tcPr>
        <w:tcBorders>
          <w:top w:val="nil"/>
          <w:left w:val="nil"/>
          <w:bottom w:val="single" w:sz="24" w:space="0" w:color="B2B2B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A6A6A" w:themeFill="accent2" w:themeFillShade="99"/>
      </w:tcPr>
    </w:tblStylePr>
    <w:tblStylePr w:type="firstCol">
      <w:rPr>
        <w:color w:val="FFFFFF" w:themeColor="background1"/>
      </w:rPr>
      <w:tblPr/>
      <w:tcPr>
        <w:tcBorders>
          <w:top w:val="nil"/>
          <w:left w:val="nil"/>
          <w:bottom w:val="nil"/>
          <w:right w:val="nil"/>
          <w:insideH w:val="single" w:sz="4" w:space="0" w:color="6A6A6A" w:themeColor="accent2" w:themeShade="99"/>
          <w:insideV w:val="nil"/>
        </w:tcBorders>
        <w:shd w:val="clear" w:color="auto" w:fill="6A6A6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6A6A6A" w:themeFill="accent2" w:themeFillShade="99"/>
      </w:tcPr>
    </w:tblStylePr>
    <w:tblStylePr w:type="band1Vert">
      <w:tblPr/>
      <w:tcPr>
        <w:shd w:val="clear" w:color="auto" w:fill="E0E0E0" w:themeFill="accent2" w:themeFillTint="66"/>
      </w:tcPr>
    </w:tblStylePr>
    <w:tblStylePr w:type="band1Horz">
      <w:tblPr/>
      <w:tcPr>
        <w:shd w:val="clear" w:color="auto" w:fill="D8D8D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locked/>
    <w:rsid w:val="00F80750"/>
    <w:pPr>
      <w:spacing w:after="0" w:line="240" w:lineRule="auto"/>
    </w:pPr>
    <w:rPr>
      <w:color w:val="000000" w:themeColor="text1"/>
    </w:rPr>
    <w:tblPr>
      <w:tblStyleRowBandSize w:val="1"/>
      <w:tblStyleColBandSize w:val="1"/>
      <w:tblBorders>
        <w:top w:val="single" w:sz="24" w:space="0" w:color="808080" w:themeColor="accent4"/>
        <w:left w:val="single" w:sz="4" w:space="0" w:color="969696" w:themeColor="accent3"/>
        <w:bottom w:val="single" w:sz="4" w:space="0" w:color="969696" w:themeColor="accent3"/>
        <w:right w:val="single" w:sz="4" w:space="0" w:color="969696" w:themeColor="accent3"/>
        <w:insideH w:val="single" w:sz="4" w:space="0" w:color="FFFFFF" w:themeColor="background1"/>
        <w:insideV w:val="single" w:sz="4" w:space="0" w:color="FFFFFF" w:themeColor="background1"/>
      </w:tblBorders>
    </w:tblPr>
    <w:tcPr>
      <w:shd w:val="clear" w:color="auto" w:fill="F4F4F4" w:themeFill="accent3" w:themeFillTint="19"/>
    </w:tcPr>
    <w:tblStylePr w:type="firstRow">
      <w:rPr>
        <w:b/>
        <w:bCs/>
      </w:rPr>
      <w:tblPr/>
      <w:tcPr>
        <w:tcBorders>
          <w:top w:val="nil"/>
          <w:left w:val="nil"/>
          <w:bottom w:val="single" w:sz="24" w:space="0" w:color="80808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A5A5A" w:themeFill="accent3" w:themeFillShade="99"/>
      </w:tcPr>
    </w:tblStylePr>
    <w:tblStylePr w:type="firstCol">
      <w:rPr>
        <w:color w:val="FFFFFF" w:themeColor="background1"/>
      </w:rPr>
      <w:tblPr/>
      <w:tcPr>
        <w:tcBorders>
          <w:top w:val="nil"/>
          <w:left w:val="nil"/>
          <w:bottom w:val="nil"/>
          <w:right w:val="nil"/>
          <w:insideH w:val="single" w:sz="4" w:space="0" w:color="5A5A5A" w:themeColor="accent3" w:themeShade="99"/>
          <w:insideV w:val="nil"/>
        </w:tcBorders>
        <w:shd w:val="clear" w:color="auto" w:fill="5A5A5A"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A5A5A" w:themeFill="accent3" w:themeFillShade="99"/>
      </w:tcPr>
    </w:tblStylePr>
    <w:tblStylePr w:type="band1Vert">
      <w:tblPr/>
      <w:tcPr>
        <w:shd w:val="clear" w:color="auto" w:fill="D5D5D5" w:themeFill="accent3" w:themeFillTint="66"/>
      </w:tcPr>
    </w:tblStylePr>
    <w:tblStylePr w:type="band1Horz">
      <w:tblPr/>
      <w:tcPr>
        <w:shd w:val="clear" w:color="auto" w:fill="CACACA" w:themeFill="accent3" w:themeFillTint="7F"/>
      </w:tcPr>
    </w:tblStylePr>
  </w:style>
  <w:style w:type="table" w:styleId="ColorfulShading-Accent4">
    <w:name w:val="Colorful Shading Accent 4"/>
    <w:basedOn w:val="TableNormal"/>
    <w:uiPriority w:val="71"/>
    <w:locked/>
    <w:rsid w:val="00F80750"/>
    <w:pPr>
      <w:spacing w:after="0" w:line="240" w:lineRule="auto"/>
    </w:pPr>
    <w:rPr>
      <w:color w:val="000000" w:themeColor="text1"/>
    </w:rPr>
    <w:tblPr>
      <w:tblStyleRowBandSize w:val="1"/>
      <w:tblStyleColBandSize w:val="1"/>
      <w:tblBorders>
        <w:top w:val="single" w:sz="24" w:space="0" w:color="969696" w:themeColor="accent3"/>
        <w:left w:val="single" w:sz="4" w:space="0" w:color="808080" w:themeColor="accent4"/>
        <w:bottom w:val="single" w:sz="4" w:space="0" w:color="808080" w:themeColor="accent4"/>
        <w:right w:val="single" w:sz="4" w:space="0" w:color="808080" w:themeColor="accent4"/>
        <w:insideH w:val="single" w:sz="4" w:space="0" w:color="FFFFFF" w:themeColor="background1"/>
        <w:insideV w:val="single" w:sz="4" w:space="0" w:color="FFFFFF" w:themeColor="background1"/>
      </w:tblBorders>
    </w:tblPr>
    <w:tcPr>
      <w:shd w:val="clear" w:color="auto" w:fill="F2F2F2" w:themeFill="accent4" w:themeFillTint="19"/>
    </w:tcPr>
    <w:tblStylePr w:type="firstRow">
      <w:rPr>
        <w:b/>
        <w:bCs/>
      </w:rPr>
      <w:tblPr/>
      <w:tcPr>
        <w:tcBorders>
          <w:top w:val="nil"/>
          <w:left w:val="nil"/>
          <w:bottom w:val="single" w:sz="24" w:space="0" w:color="969696"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4C4C" w:themeFill="accent4" w:themeFillShade="99"/>
      </w:tcPr>
    </w:tblStylePr>
    <w:tblStylePr w:type="firstCol">
      <w:rPr>
        <w:color w:val="FFFFFF" w:themeColor="background1"/>
      </w:rPr>
      <w:tblPr/>
      <w:tcPr>
        <w:tcBorders>
          <w:top w:val="nil"/>
          <w:left w:val="nil"/>
          <w:bottom w:val="nil"/>
          <w:right w:val="nil"/>
          <w:insideH w:val="single" w:sz="4" w:space="0" w:color="4C4C4C" w:themeColor="accent4" w:themeShade="99"/>
          <w:insideV w:val="nil"/>
        </w:tcBorders>
        <w:shd w:val="clear" w:color="auto" w:fill="4C4C4C"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4C4C" w:themeFill="accent4" w:themeFillShade="99"/>
      </w:tcPr>
    </w:tblStylePr>
    <w:tblStylePr w:type="band1Vert">
      <w:tblPr/>
      <w:tcPr>
        <w:shd w:val="clear" w:color="auto" w:fill="CCCCCC" w:themeFill="accent4" w:themeFillTint="66"/>
      </w:tcPr>
    </w:tblStylePr>
    <w:tblStylePr w:type="band1Horz">
      <w:tblPr/>
      <w:tcPr>
        <w:shd w:val="clear" w:color="auto" w:fill="BFBFB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locked/>
    <w:rsid w:val="00F80750"/>
    <w:pPr>
      <w:spacing w:after="0" w:line="240" w:lineRule="auto"/>
    </w:pPr>
    <w:rPr>
      <w:color w:val="000000" w:themeColor="text1"/>
    </w:rPr>
    <w:tblPr>
      <w:tblStyleRowBandSize w:val="1"/>
      <w:tblStyleColBandSize w:val="1"/>
      <w:tblBorders>
        <w:top w:val="single" w:sz="24" w:space="0" w:color="4D4D4D" w:themeColor="accent6"/>
        <w:left w:val="single" w:sz="4" w:space="0" w:color="5F5F5F" w:themeColor="accent5"/>
        <w:bottom w:val="single" w:sz="4" w:space="0" w:color="5F5F5F" w:themeColor="accent5"/>
        <w:right w:val="single" w:sz="4" w:space="0" w:color="5F5F5F" w:themeColor="accent5"/>
        <w:insideH w:val="single" w:sz="4" w:space="0" w:color="FFFFFF" w:themeColor="background1"/>
        <w:insideV w:val="single" w:sz="4" w:space="0" w:color="FFFFFF" w:themeColor="background1"/>
      </w:tblBorders>
    </w:tblPr>
    <w:tcPr>
      <w:shd w:val="clear" w:color="auto" w:fill="EFEFEF" w:themeFill="accent5" w:themeFillTint="19"/>
    </w:tcPr>
    <w:tblStylePr w:type="firstRow">
      <w:rPr>
        <w:b/>
        <w:bCs/>
      </w:rPr>
      <w:tblPr/>
      <w:tcPr>
        <w:tcBorders>
          <w:top w:val="nil"/>
          <w:left w:val="nil"/>
          <w:bottom w:val="single" w:sz="24" w:space="0" w:color="4D4D4D"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93939" w:themeFill="accent5" w:themeFillShade="99"/>
      </w:tcPr>
    </w:tblStylePr>
    <w:tblStylePr w:type="firstCol">
      <w:rPr>
        <w:color w:val="FFFFFF" w:themeColor="background1"/>
      </w:rPr>
      <w:tblPr/>
      <w:tcPr>
        <w:tcBorders>
          <w:top w:val="nil"/>
          <w:left w:val="nil"/>
          <w:bottom w:val="nil"/>
          <w:right w:val="nil"/>
          <w:insideH w:val="single" w:sz="4" w:space="0" w:color="393939" w:themeColor="accent5" w:themeShade="99"/>
          <w:insideV w:val="nil"/>
        </w:tcBorders>
        <w:shd w:val="clear" w:color="auto" w:fill="393939"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393939" w:themeFill="accent5" w:themeFillShade="99"/>
      </w:tcPr>
    </w:tblStylePr>
    <w:tblStylePr w:type="band1Vert">
      <w:tblPr/>
      <w:tcPr>
        <w:shd w:val="clear" w:color="auto" w:fill="BFBFBF" w:themeFill="accent5" w:themeFillTint="66"/>
      </w:tcPr>
    </w:tblStylePr>
    <w:tblStylePr w:type="band1Horz">
      <w:tblPr/>
      <w:tcPr>
        <w:shd w:val="clear" w:color="auto" w:fill="AFAFAF"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locked/>
    <w:rsid w:val="00F80750"/>
    <w:pPr>
      <w:spacing w:after="0" w:line="240" w:lineRule="auto"/>
    </w:pPr>
    <w:rPr>
      <w:color w:val="000000" w:themeColor="text1"/>
    </w:rPr>
    <w:tblPr>
      <w:tblStyleRowBandSize w:val="1"/>
      <w:tblStyleColBandSize w:val="1"/>
      <w:tblBorders>
        <w:top w:val="single" w:sz="24" w:space="0" w:color="5F5F5F" w:themeColor="accent5"/>
        <w:left w:val="single" w:sz="4" w:space="0" w:color="4D4D4D" w:themeColor="accent6"/>
        <w:bottom w:val="single" w:sz="4" w:space="0" w:color="4D4D4D" w:themeColor="accent6"/>
        <w:right w:val="single" w:sz="4" w:space="0" w:color="4D4D4D" w:themeColor="accent6"/>
        <w:insideH w:val="single" w:sz="4" w:space="0" w:color="FFFFFF" w:themeColor="background1"/>
        <w:insideV w:val="single" w:sz="4" w:space="0" w:color="FFFFFF" w:themeColor="background1"/>
      </w:tblBorders>
    </w:tblPr>
    <w:tcPr>
      <w:shd w:val="clear" w:color="auto" w:fill="EDEDED" w:themeFill="accent6" w:themeFillTint="19"/>
    </w:tcPr>
    <w:tblStylePr w:type="firstRow">
      <w:rPr>
        <w:b/>
        <w:bCs/>
      </w:rPr>
      <w:tblPr/>
      <w:tcPr>
        <w:tcBorders>
          <w:top w:val="nil"/>
          <w:left w:val="nil"/>
          <w:bottom w:val="single" w:sz="24" w:space="0" w:color="5F5F5F"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E2E2E" w:themeFill="accent6" w:themeFillShade="99"/>
      </w:tcPr>
    </w:tblStylePr>
    <w:tblStylePr w:type="firstCol">
      <w:rPr>
        <w:color w:val="FFFFFF" w:themeColor="background1"/>
      </w:rPr>
      <w:tblPr/>
      <w:tcPr>
        <w:tcBorders>
          <w:top w:val="nil"/>
          <w:left w:val="nil"/>
          <w:bottom w:val="nil"/>
          <w:right w:val="nil"/>
          <w:insideH w:val="single" w:sz="4" w:space="0" w:color="2E2E2E" w:themeColor="accent6" w:themeShade="99"/>
          <w:insideV w:val="nil"/>
        </w:tcBorders>
        <w:shd w:val="clear" w:color="auto" w:fill="2E2E2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2E2E2E" w:themeFill="accent6" w:themeFillShade="99"/>
      </w:tcPr>
    </w:tblStylePr>
    <w:tblStylePr w:type="band1Vert">
      <w:tblPr/>
      <w:tcPr>
        <w:shd w:val="clear" w:color="auto" w:fill="B7B7B7" w:themeFill="accent6" w:themeFillTint="66"/>
      </w:tcPr>
    </w:tblStylePr>
    <w:tblStylePr w:type="band1Horz">
      <w:tblPr/>
      <w:tcPr>
        <w:shd w:val="clear" w:color="auto" w:fill="A6A6A6"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locked/>
    <w:rsid w:val="00F80750"/>
    <w:rPr>
      <w:noProof w:val="0"/>
      <w:sz w:val="16"/>
      <w:szCs w:val="16"/>
      <w:lang w:val="en-AU"/>
    </w:rPr>
  </w:style>
  <w:style w:type="paragraph" w:styleId="CommentText">
    <w:name w:val="annotation text"/>
    <w:basedOn w:val="Normal"/>
    <w:link w:val="CommentTextChar"/>
    <w:uiPriority w:val="99"/>
    <w:semiHidden/>
    <w:unhideWhenUsed/>
    <w:locked/>
    <w:rsid w:val="00F80750"/>
    <w:pPr>
      <w:spacing w:line="240" w:lineRule="auto"/>
    </w:pPr>
  </w:style>
  <w:style w:type="character" w:customStyle="1" w:styleId="CommentTextChar">
    <w:name w:val="Comment Text Char"/>
    <w:basedOn w:val="DefaultParagraphFont"/>
    <w:link w:val="CommentText"/>
    <w:uiPriority w:val="99"/>
    <w:semiHidden/>
    <w:rsid w:val="00F80750"/>
    <w:rPr>
      <w:noProof w:val="0"/>
      <w:sz w:val="20"/>
      <w:szCs w:val="20"/>
      <w:lang w:val="en-AU"/>
    </w:rPr>
  </w:style>
  <w:style w:type="paragraph" w:styleId="CommentSubject">
    <w:name w:val="annotation subject"/>
    <w:basedOn w:val="CommentText"/>
    <w:next w:val="CommentText"/>
    <w:link w:val="CommentSubjectChar"/>
    <w:uiPriority w:val="99"/>
    <w:semiHidden/>
    <w:unhideWhenUsed/>
    <w:locked/>
    <w:rsid w:val="00F80750"/>
    <w:rPr>
      <w:b/>
      <w:bCs/>
    </w:rPr>
  </w:style>
  <w:style w:type="character" w:customStyle="1" w:styleId="CommentSubjectChar">
    <w:name w:val="Comment Subject Char"/>
    <w:basedOn w:val="CommentTextChar"/>
    <w:link w:val="CommentSubject"/>
    <w:uiPriority w:val="99"/>
    <w:semiHidden/>
    <w:rsid w:val="00F80750"/>
    <w:rPr>
      <w:b/>
      <w:bCs/>
      <w:noProof w:val="0"/>
      <w:sz w:val="20"/>
      <w:szCs w:val="20"/>
      <w:lang w:val="en-AU"/>
    </w:rPr>
  </w:style>
  <w:style w:type="table" w:styleId="DarkList">
    <w:name w:val="Dark List"/>
    <w:basedOn w:val="TableNormal"/>
    <w:uiPriority w:val="70"/>
    <w:locked/>
    <w:rsid w:val="00F8075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locked/>
    <w:rsid w:val="00F80750"/>
    <w:pPr>
      <w:spacing w:after="0" w:line="240" w:lineRule="auto"/>
    </w:pPr>
    <w:rPr>
      <w:color w:val="FFFFFF" w:themeColor="background1"/>
    </w:rPr>
    <w:tblPr>
      <w:tblStyleRowBandSize w:val="1"/>
      <w:tblStyleColBandSize w:val="1"/>
    </w:tblPr>
    <w:tcPr>
      <w:shd w:val="clear" w:color="auto" w:fill="DDDDD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E6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A5A5A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A5A5A5" w:themeFill="accent1" w:themeFillShade="BF"/>
      </w:tcPr>
    </w:tblStylePr>
    <w:tblStylePr w:type="band1Vert">
      <w:tblPr/>
      <w:tcPr>
        <w:tcBorders>
          <w:top w:val="nil"/>
          <w:left w:val="nil"/>
          <w:bottom w:val="nil"/>
          <w:right w:val="nil"/>
          <w:insideH w:val="nil"/>
          <w:insideV w:val="nil"/>
        </w:tcBorders>
        <w:shd w:val="clear" w:color="auto" w:fill="A5A5A5" w:themeFill="accent1" w:themeFillShade="BF"/>
      </w:tcPr>
    </w:tblStylePr>
    <w:tblStylePr w:type="band1Horz">
      <w:tblPr/>
      <w:tcPr>
        <w:tcBorders>
          <w:top w:val="nil"/>
          <w:left w:val="nil"/>
          <w:bottom w:val="nil"/>
          <w:right w:val="nil"/>
          <w:insideH w:val="nil"/>
          <w:insideV w:val="nil"/>
        </w:tcBorders>
        <w:shd w:val="clear" w:color="auto" w:fill="A5A5A5" w:themeFill="accent1" w:themeFillShade="BF"/>
      </w:tcPr>
    </w:tblStylePr>
  </w:style>
  <w:style w:type="table" w:styleId="DarkList-Accent2">
    <w:name w:val="Dark List Accent 2"/>
    <w:basedOn w:val="TableNormal"/>
    <w:uiPriority w:val="70"/>
    <w:locked/>
    <w:rsid w:val="00F80750"/>
    <w:pPr>
      <w:spacing w:after="0" w:line="240" w:lineRule="auto"/>
    </w:pPr>
    <w:rPr>
      <w:color w:val="FFFFFF" w:themeColor="background1"/>
    </w:rPr>
    <w:tblPr>
      <w:tblStyleRowBandSize w:val="1"/>
      <w:tblStyleColBandSize w:val="1"/>
    </w:tblPr>
    <w:tcPr>
      <w:shd w:val="clear" w:color="auto" w:fill="B2B2B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85858"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858585"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858585" w:themeFill="accent2" w:themeFillShade="BF"/>
      </w:tcPr>
    </w:tblStylePr>
    <w:tblStylePr w:type="band1Vert">
      <w:tblPr/>
      <w:tcPr>
        <w:tcBorders>
          <w:top w:val="nil"/>
          <w:left w:val="nil"/>
          <w:bottom w:val="nil"/>
          <w:right w:val="nil"/>
          <w:insideH w:val="nil"/>
          <w:insideV w:val="nil"/>
        </w:tcBorders>
        <w:shd w:val="clear" w:color="auto" w:fill="858585" w:themeFill="accent2" w:themeFillShade="BF"/>
      </w:tcPr>
    </w:tblStylePr>
    <w:tblStylePr w:type="band1Horz">
      <w:tblPr/>
      <w:tcPr>
        <w:tcBorders>
          <w:top w:val="nil"/>
          <w:left w:val="nil"/>
          <w:bottom w:val="nil"/>
          <w:right w:val="nil"/>
          <w:insideH w:val="nil"/>
          <w:insideV w:val="nil"/>
        </w:tcBorders>
        <w:shd w:val="clear" w:color="auto" w:fill="858585" w:themeFill="accent2" w:themeFillShade="BF"/>
      </w:tcPr>
    </w:tblStylePr>
  </w:style>
  <w:style w:type="table" w:styleId="DarkList-Accent3">
    <w:name w:val="Dark List Accent 3"/>
    <w:basedOn w:val="TableNormal"/>
    <w:uiPriority w:val="70"/>
    <w:locked/>
    <w:rsid w:val="00F80750"/>
    <w:pPr>
      <w:spacing w:after="0" w:line="240" w:lineRule="auto"/>
    </w:pPr>
    <w:rPr>
      <w:color w:val="FFFFFF" w:themeColor="background1"/>
    </w:rPr>
    <w:tblPr>
      <w:tblStyleRowBandSize w:val="1"/>
      <w:tblStyleColBandSize w:val="1"/>
    </w:tblPr>
    <w:tcPr>
      <w:shd w:val="clear" w:color="auto" w:fill="969696"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A4A4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07070"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07070" w:themeFill="accent3" w:themeFillShade="BF"/>
      </w:tcPr>
    </w:tblStylePr>
    <w:tblStylePr w:type="band1Vert">
      <w:tblPr/>
      <w:tcPr>
        <w:tcBorders>
          <w:top w:val="nil"/>
          <w:left w:val="nil"/>
          <w:bottom w:val="nil"/>
          <w:right w:val="nil"/>
          <w:insideH w:val="nil"/>
          <w:insideV w:val="nil"/>
        </w:tcBorders>
        <w:shd w:val="clear" w:color="auto" w:fill="707070" w:themeFill="accent3" w:themeFillShade="BF"/>
      </w:tcPr>
    </w:tblStylePr>
    <w:tblStylePr w:type="band1Horz">
      <w:tblPr/>
      <w:tcPr>
        <w:tcBorders>
          <w:top w:val="nil"/>
          <w:left w:val="nil"/>
          <w:bottom w:val="nil"/>
          <w:right w:val="nil"/>
          <w:insideH w:val="nil"/>
          <w:insideV w:val="nil"/>
        </w:tcBorders>
        <w:shd w:val="clear" w:color="auto" w:fill="707070" w:themeFill="accent3" w:themeFillShade="BF"/>
      </w:tcPr>
    </w:tblStylePr>
  </w:style>
  <w:style w:type="table" w:styleId="DarkList-Accent4">
    <w:name w:val="Dark List Accent 4"/>
    <w:basedOn w:val="TableNormal"/>
    <w:uiPriority w:val="70"/>
    <w:locked/>
    <w:rsid w:val="00F80750"/>
    <w:pPr>
      <w:spacing w:after="0" w:line="240" w:lineRule="auto"/>
    </w:pPr>
    <w:rPr>
      <w:color w:val="FFFFFF" w:themeColor="background1"/>
    </w:rPr>
    <w:tblPr>
      <w:tblStyleRowBandSize w:val="1"/>
      <w:tblStyleColBandSize w:val="1"/>
    </w:tblPr>
    <w:tcPr>
      <w:shd w:val="clear" w:color="auto" w:fill="80808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F3F"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5F5F"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5F5F" w:themeFill="accent4" w:themeFillShade="BF"/>
      </w:tcPr>
    </w:tblStylePr>
    <w:tblStylePr w:type="band1Vert">
      <w:tblPr/>
      <w:tcPr>
        <w:tcBorders>
          <w:top w:val="nil"/>
          <w:left w:val="nil"/>
          <w:bottom w:val="nil"/>
          <w:right w:val="nil"/>
          <w:insideH w:val="nil"/>
          <w:insideV w:val="nil"/>
        </w:tcBorders>
        <w:shd w:val="clear" w:color="auto" w:fill="5F5F5F" w:themeFill="accent4" w:themeFillShade="BF"/>
      </w:tcPr>
    </w:tblStylePr>
    <w:tblStylePr w:type="band1Horz">
      <w:tblPr/>
      <w:tcPr>
        <w:tcBorders>
          <w:top w:val="nil"/>
          <w:left w:val="nil"/>
          <w:bottom w:val="nil"/>
          <w:right w:val="nil"/>
          <w:insideH w:val="nil"/>
          <w:insideV w:val="nil"/>
        </w:tcBorders>
        <w:shd w:val="clear" w:color="auto" w:fill="5F5F5F" w:themeFill="accent4" w:themeFillShade="BF"/>
      </w:tcPr>
    </w:tblStylePr>
  </w:style>
  <w:style w:type="table" w:styleId="DarkList-Accent5">
    <w:name w:val="Dark List Accent 5"/>
    <w:basedOn w:val="TableNormal"/>
    <w:uiPriority w:val="70"/>
    <w:locked/>
    <w:rsid w:val="00F80750"/>
    <w:pPr>
      <w:spacing w:after="0" w:line="240" w:lineRule="auto"/>
    </w:pPr>
    <w:rPr>
      <w:color w:val="FFFFFF" w:themeColor="background1"/>
    </w:rPr>
    <w:tblPr>
      <w:tblStyleRowBandSize w:val="1"/>
      <w:tblStyleColBandSize w:val="1"/>
    </w:tblPr>
    <w:tcPr>
      <w:shd w:val="clear" w:color="auto" w:fill="5F5F5F"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F2F2F"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474747"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474747" w:themeFill="accent5" w:themeFillShade="BF"/>
      </w:tcPr>
    </w:tblStylePr>
    <w:tblStylePr w:type="band1Vert">
      <w:tblPr/>
      <w:tcPr>
        <w:tcBorders>
          <w:top w:val="nil"/>
          <w:left w:val="nil"/>
          <w:bottom w:val="nil"/>
          <w:right w:val="nil"/>
          <w:insideH w:val="nil"/>
          <w:insideV w:val="nil"/>
        </w:tcBorders>
        <w:shd w:val="clear" w:color="auto" w:fill="474747" w:themeFill="accent5" w:themeFillShade="BF"/>
      </w:tcPr>
    </w:tblStylePr>
    <w:tblStylePr w:type="band1Horz">
      <w:tblPr/>
      <w:tcPr>
        <w:tcBorders>
          <w:top w:val="nil"/>
          <w:left w:val="nil"/>
          <w:bottom w:val="nil"/>
          <w:right w:val="nil"/>
          <w:insideH w:val="nil"/>
          <w:insideV w:val="nil"/>
        </w:tcBorders>
        <w:shd w:val="clear" w:color="auto" w:fill="474747" w:themeFill="accent5" w:themeFillShade="BF"/>
      </w:tcPr>
    </w:tblStylePr>
  </w:style>
  <w:style w:type="table" w:styleId="DarkList-Accent6">
    <w:name w:val="Dark List Accent 6"/>
    <w:basedOn w:val="TableNormal"/>
    <w:uiPriority w:val="70"/>
    <w:locked/>
    <w:rsid w:val="00F80750"/>
    <w:pPr>
      <w:spacing w:after="0" w:line="240" w:lineRule="auto"/>
    </w:pPr>
    <w:rPr>
      <w:color w:val="FFFFFF" w:themeColor="background1"/>
    </w:rPr>
    <w:tblPr>
      <w:tblStyleRowBandSize w:val="1"/>
      <w:tblStyleColBandSize w:val="1"/>
    </w:tblPr>
    <w:tcPr>
      <w:shd w:val="clear" w:color="auto" w:fill="4D4D4D"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6262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393939"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393939" w:themeFill="accent6" w:themeFillShade="BF"/>
      </w:tcPr>
    </w:tblStylePr>
    <w:tblStylePr w:type="band1Vert">
      <w:tblPr/>
      <w:tcPr>
        <w:tcBorders>
          <w:top w:val="nil"/>
          <w:left w:val="nil"/>
          <w:bottom w:val="nil"/>
          <w:right w:val="nil"/>
          <w:insideH w:val="nil"/>
          <w:insideV w:val="nil"/>
        </w:tcBorders>
        <w:shd w:val="clear" w:color="auto" w:fill="393939" w:themeFill="accent6" w:themeFillShade="BF"/>
      </w:tcPr>
    </w:tblStylePr>
    <w:tblStylePr w:type="band1Horz">
      <w:tblPr/>
      <w:tcPr>
        <w:tcBorders>
          <w:top w:val="nil"/>
          <w:left w:val="nil"/>
          <w:bottom w:val="nil"/>
          <w:right w:val="nil"/>
          <w:insideH w:val="nil"/>
          <w:insideV w:val="nil"/>
        </w:tcBorders>
        <w:shd w:val="clear" w:color="auto" w:fill="393939" w:themeFill="accent6" w:themeFillShade="BF"/>
      </w:tcPr>
    </w:tblStylePr>
  </w:style>
  <w:style w:type="paragraph" w:styleId="Date">
    <w:name w:val="Date"/>
    <w:basedOn w:val="Normal"/>
    <w:next w:val="Normal"/>
    <w:link w:val="DateChar"/>
    <w:uiPriority w:val="99"/>
    <w:semiHidden/>
    <w:unhideWhenUsed/>
    <w:locked/>
    <w:rsid w:val="00F80750"/>
  </w:style>
  <w:style w:type="character" w:customStyle="1" w:styleId="DateChar">
    <w:name w:val="Date Char"/>
    <w:basedOn w:val="DefaultParagraphFont"/>
    <w:link w:val="Date"/>
    <w:uiPriority w:val="99"/>
    <w:semiHidden/>
    <w:rsid w:val="00F80750"/>
    <w:rPr>
      <w:noProof w:val="0"/>
      <w:lang w:val="en-AU"/>
    </w:rPr>
  </w:style>
  <w:style w:type="paragraph" w:styleId="DocumentMap">
    <w:name w:val="Document Map"/>
    <w:basedOn w:val="Normal"/>
    <w:link w:val="DocumentMapChar"/>
    <w:uiPriority w:val="99"/>
    <w:semiHidden/>
    <w:unhideWhenUsed/>
    <w:locked/>
    <w:rsid w:val="00F80750"/>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F80750"/>
    <w:rPr>
      <w:rFonts w:ascii="Tahoma" w:hAnsi="Tahoma" w:cs="Tahoma"/>
      <w:noProof w:val="0"/>
      <w:sz w:val="16"/>
      <w:szCs w:val="16"/>
      <w:lang w:val="en-AU"/>
    </w:rPr>
  </w:style>
  <w:style w:type="paragraph" w:styleId="E-mailSignature">
    <w:name w:val="E-mail Signature"/>
    <w:basedOn w:val="Normal"/>
    <w:link w:val="E-mailSignatureChar"/>
    <w:uiPriority w:val="99"/>
    <w:semiHidden/>
    <w:unhideWhenUsed/>
    <w:locked/>
    <w:rsid w:val="00F80750"/>
    <w:pPr>
      <w:spacing w:after="0" w:line="240" w:lineRule="auto"/>
    </w:pPr>
  </w:style>
  <w:style w:type="character" w:customStyle="1" w:styleId="E-mailSignatureChar">
    <w:name w:val="E-mail Signature Char"/>
    <w:basedOn w:val="DefaultParagraphFont"/>
    <w:link w:val="E-mailSignature"/>
    <w:uiPriority w:val="99"/>
    <w:semiHidden/>
    <w:rsid w:val="00F80750"/>
    <w:rPr>
      <w:noProof w:val="0"/>
      <w:lang w:val="en-AU"/>
    </w:rPr>
  </w:style>
  <w:style w:type="character" w:styleId="Emphasis">
    <w:name w:val="Emphasis"/>
    <w:basedOn w:val="DefaultParagraphFont"/>
    <w:uiPriority w:val="20"/>
    <w:semiHidden/>
    <w:qFormat/>
    <w:locked/>
    <w:rsid w:val="00F80750"/>
    <w:rPr>
      <w:i/>
      <w:iCs/>
      <w:noProof w:val="0"/>
      <w:lang w:val="en-AU"/>
    </w:rPr>
  </w:style>
  <w:style w:type="character" w:styleId="EndnoteReference">
    <w:name w:val="endnote reference"/>
    <w:basedOn w:val="DefaultParagraphFont"/>
    <w:uiPriority w:val="99"/>
    <w:rsid w:val="00F80750"/>
    <w:rPr>
      <w:noProof w:val="0"/>
      <w:vertAlign w:val="superscript"/>
      <w:lang w:val="en-AU"/>
    </w:rPr>
  </w:style>
  <w:style w:type="paragraph" w:styleId="EndnoteText">
    <w:name w:val="endnote text"/>
    <w:basedOn w:val="Normal"/>
    <w:link w:val="EndnoteTextChar"/>
    <w:uiPriority w:val="99"/>
    <w:rsid w:val="00F80750"/>
    <w:pPr>
      <w:spacing w:after="0" w:line="240" w:lineRule="auto"/>
    </w:pPr>
  </w:style>
  <w:style w:type="character" w:customStyle="1" w:styleId="EndnoteTextChar">
    <w:name w:val="Endnote Text Char"/>
    <w:basedOn w:val="DefaultParagraphFont"/>
    <w:link w:val="EndnoteText"/>
    <w:uiPriority w:val="99"/>
    <w:rsid w:val="00F80750"/>
    <w:rPr>
      <w:noProof w:val="0"/>
      <w:sz w:val="20"/>
      <w:szCs w:val="20"/>
      <w:lang w:val="en-AU"/>
    </w:rPr>
  </w:style>
  <w:style w:type="paragraph" w:styleId="EnvelopeAddress">
    <w:name w:val="envelope address"/>
    <w:basedOn w:val="Normal"/>
    <w:uiPriority w:val="99"/>
    <w:semiHidden/>
    <w:unhideWhenUsed/>
    <w:locked/>
    <w:rsid w:val="00F80750"/>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locked/>
    <w:rsid w:val="00F80750"/>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rsid w:val="00E80011"/>
    <w:rPr>
      <w:noProof w:val="0"/>
      <w:color w:val="800080"/>
      <w:u w:val="single"/>
      <w:lang w:val="en-AU"/>
    </w:rPr>
  </w:style>
  <w:style w:type="character" w:styleId="FootnoteReference">
    <w:name w:val="footnote reference"/>
    <w:basedOn w:val="DefaultParagraphFont"/>
    <w:uiPriority w:val="99"/>
    <w:rsid w:val="00F80750"/>
    <w:rPr>
      <w:noProof w:val="0"/>
      <w:vertAlign w:val="superscript"/>
      <w:lang w:val="en-AU"/>
    </w:rPr>
  </w:style>
  <w:style w:type="paragraph" w:styleId="FootnoteText">
    <w:name w:val="footnote text"/>
    <w:basedOn w:val="Normal"/>
    <w:link w:val="FootnoteTextChar"/>
    <w:uiPriority w:val="99"/>
    <w:rsid w:val="00F80750"/>
    <w:pPr>
      <w:spacing w:after="0" w:line="240" w:lineRule="auto"/>
    </w:pPr>
  </w:style>
  <w:style w:type="character" w:customStyle="1" w:styleId="FootnoteTextChar">
    <w:name w:val="Footnote Text Char"/>
    <w:basedOn w:val="DefaultParagraphFont"/>
    <w:link w:val="FootnoteText"/>
    <w:uiPriority w:val="99"/>
    <w:rsid w:val="00F80750"/>
    <w:rPr>
      <w:noProof w:val="0"/>
      <w:sz w:val="20"/>
      <w:szCs w:val="20"/>
      <w:lang w:val="en-AU"/>
    </w:rPr>
  </w:style>
  <w:style w:type="character" w:customStyle="1" w:styleId="Heading5Char">
    <w:name w:val="Heading 5 Char"/>
    <w:basedOn w:val="DefaultParagraphFont"/>
    <w:link w:val="Heading5"/>
    <w:uiPriority w:val="9"/>
    <w:semiHidden/>
    <w:rsid w:val="00F80750"/>
    <w:rPr>
      <w:rFonts w:asciiTheme="majorHAnsi" w:eastAsiaTheme="majorEastAsia" w:hAnsiTheme="majorHAnsi" w:cstheme="majorBidi"/>
      <w:noProof w:val="0"/>
      <w:color w:val="6E6E6E" w:themeColor="accent1" w:themeShade="7F"/>
      <w:lang w:val="en-AU"/>
    </w:rPr>
  </w:style>
  <w:style w:type="character" w:customStyle="1" w:styleId="Heading6Char">
    <w:name w:val="Heading 6 Char"/>
    <w:basedOn w:val="DefaultParagraphFont"/>
    <w:link w:val="Heading6"/>
    <w:uiPriority w:val="9"/>
    <w:semiHidden/>
    <w:rsid w:val="00F80750"/>
    <w:rPr>
      <w:rFonts w:asciiTheme="majorHAnsi" w:eastAsiaTheme="majorEastAsia" w:hAnsiTheme="majorHAnsi" w:cstheme="majorBidi"/>
      <w:i/>
      <w:iCs/>
      <w:noProof w:val="0"/>
      <w:color w:val="6E6E6E" w:themeColor="accent1" w:themeShade="7F"/>
      <w:lang w:val="en-AU"/>
    </w:rPr>
  </w:style>
  <w:style w:type="character" w:customStyle="1" w:styleId="Heading7Char">
    <w:name w:val="Heading 7 Char"/>
    <w:basedOn w:val="DefaultParagraphFont"/>
    <w:link w:val="Heading7"/>
    <w:uiPriority w:val="9"/>
    <w:semiHidden/>
    <w:rsid w:val="00F80750"/>
    <w:rPr>
      <w:rFonts w:asciiTheme="majorHAnsi" w:eastAsiaTheme="majorEastAsia" w:hAnsiTheme="majorHAnsi" w:cstheme="majorBidi"/>
      <w:i/>
      <w:iCs/>
      <w:noProof w:val="0"/>
      <w:color w:val="404040" w:themeColor="text1" w:themeTint="BF"/>
      <w:lang w:val="en-AU"/>
    </w:rPr>
  </w:style>
  <w:style w:type="character" w:customStyle="1" w:styleId="Heading8Char">
    <w:name w:val="Heading 8 Char"/>
    <w:basedOn w:val="DefaultParagraphFont"/>
    <w:link w:val="Heading8"/>
    <w:uiPriority w:val="9"/>
    <w:semiHidden/>
    <w:rsid w:val="00F80750"/>
    <w:rPr>
      <w:rFonts w:asciiTheme="majorHAnsi" w:eastAsiaTheme="majorEastAsia" w:hAnsiTheme="majorHAnsi" w:cstheme="majorBidi"/>
      <w:noProof w:val="0"/>
      <w:color w:val="404040" w:themeColor="text1" w:themeTint="BF"/>
      <w:sz w:val="20"/>
      <w:szCs w:val="20"/>
      <w:lang w:val="en-AU"/>
    </w:rPr>
  </w:style>
  <w:style w:type="character" w:customStyle="1" w:styleId="Heading9Char">
    <w:name w:val="Heading 9 Char"/>
    <w:basedOn w:val="DefaultParagraphFont"/>
    <w:link w:val="Heading9"/>
    <w:uiPriority w:val="9"/>
    <w:semiHidden/>
    <w:rsid w:val="00F80750"/>
    <w:rPr>
      <w:rFonts w:asciiTheme="majorHAnsi" w:eastAsiaTheme="majorEastAsia" w:hAnsiTheme="majorHAnsi" w:cstheme="majorBidi"/>
      <w:i/>
      <w:iCs/>
      <w:noProof w:val="0"/>
      <w:color w:val="404040" w:themeColor="text1" w:themeTint="BF"/>
      <w:sz w:val="20"/>
      <w:szCs w:val="20"/>
      <w:lang w:val="en-AU"/>
    </w:rPr>
  </w:style>
  <w:style w:type="character" w:styleId="HTMLAcronym">
    <w:name w:val="HTML Acronym"/>
    <w:basedOn w:val="DefaultParagraphFont"/>
    <w:uiPriority w:val="99"/>
    <w:semiHidden/>
    <w:unhideWhenUsed/>
    <w:locked/>
    <w:rsid w:val="00F80750"/>
    <w:rPr>
      <w:noProof w:val="0"/>
      <w:lang w:val="en-AU"/>
    </w:rPr>
  </w:style>
  <w:style w:type="paragraph" w:styleId="HTMLAddress">
    <w:name w:val="HTML Address"/>
    <w:basedOn w:val="Normal"/>
    <w:link w:val="HTMLAddressChar"/>
    <w:uiPriority w:val="99"/>
    <w:semiHidden/>
    <w:unhideWhenUsed/>
    <w:locked/>
    <w:rsid w:val="00F80750"/>
    <w:pPr>
      <w:spacing w:after="0" w:line="240" w:lineRule="auto"/>
    </w:pPr>
    <w:rPr>
      <w:i/>
      <w:iCs/>
    </w:rPr>
  </w:style>
  <w:style w:type="character" w:customStyle="1" w:styleId="HTMLAddressChar">
    <w:name w:val="HTML Address Char"/>
    <w:basedOn w:val="DefaultParagraphFont"/>
    <w:link w:val="HTMLAddress"/>
    <w:uiPriority w:val="99"/>
    <w:semiHidden/>
    <w:rsid w:val="00F80750"/>
    <w:rPr>
      <w:i/>
      <w:iCs/>
      <w:noProof w:val="0"/>
      <w:lang w:val="en-AU"/>
    </w:rPr>
  </w:style>
  <w:style w:type="character" w:styleId="HTMLCite">
    <w:name w:val="HTML Cite"/>
    <w:basedOn w:val="DefaultParagraphFont"/>
    <w:uiPriority w:val="99"/>
    <w:semiHidden/>
    <w:unhideWhenUsed/>
    <w:locked/>
    <w:rsid w:val="00F80750"/>
    <w:rPr>
      <w:i/>
      <w:iCs/>
      <w:noProof w:val="0"/>
      <w:lang w:val="en-AU"/>
    </w:rPr>
  </w:style>
  <w:style w:type="character" w:styleId="HTMLCode">
    <w:name w:val="HTML Code"/>
    <w:basedOn w:val="DefaultParagraphFont"/>
    <w:uiPriority w:val="99"/>
    <w:semiHidden/>
    <w:unhideWhenUsed/>
    <w:locked/>
    <w:rsid w:val="00F80750"/>
    <w:rPr>
      <w:rFonts w:ascii="Consolas" w:hAnsi="Consolas"/>
      <w:noProof w:val="0"/>
      <w:sz w:val="20"/>
      <w:szCs w:val="20"/>
      <w:lang w:val="en-AU"/>
    </w:rPr>
  </w:style>
  <w:style w:type="character" w:styleId="HTMLDefinition">
    <w:name w:val="HTML Definition"/>
    <w:basedOn w:val="DefaultParagraphFont"/>
    <w:uiPriority w:val="99"/>
    <w:semiHidden/>
    <w:unhideWhenUsed/>
    <w:locked/>
    <w:rsid w:val="00F80750"/>
    <w:rPr>
      <w:i/>
      <w:iCs/>
      <w:noProof w:val="0"/>
      <w:lang w:val="en-AU"/>
    </w:rPr>
  </w:style>
  <w:style w:type="character" w:styleId="HTMLKeyboard">
    <w:name w:val="HTML Keyboard"/>
    <w:basedOn w:val="DefaultParagraphFont"/>
    <w:uiPriority w:val="99"/>
    <w:semiHidden/>
    <w:unhideWhenUsed/>
    <w:locked/>
    <w:rsid w:val="00F80750"/>
    <w:rPr>
      <w:rFonts w:ascii="Consolas" w:hAnsi="Consolas"/>
      <w:noProof w:val="0"/>
      <w:sz w:val="20"/>
      <w:szCs w:val="20"/>
      <w:lang w:val="en-AU"/>
    </w:rPr>
  </w:style>
  <w:style w:type="paragraph" w:styleId="HTMLPreformatted">
    <w:name w:val="HTML Preformatted"/>
    <w:basedOn w:val="Normal"/>
    <w:link w:val="HTMLPreformattedChar"/>
    <w:uiPriority w:val="99"/>
    <w:semiHidden/>
    <w:unhideWhenUsed/>
    <w:locked/>
    <w:rsid w:val="00F80750"/>
    <w:pPr>
      <w:spacing w:after="0" w:line="240" w:lineRule="auto"/>
    </w:pPr>
    <w:rPr>
      <w:rFonts w:ascii="Consolas" w:hAnsi="Consolas"/>
    </w:rPr>
  </w:style>
  <w:style w:type="character" w:customStyle="1" w:styleId="HTMLPreformattedChar">
    <w:name w:val="HTML Preformatted Char"/>
    <w:basedOn w:val="DefaultParagraphFont"/>
    <w:link w:val="HTMLPreformatted"/>
    <w:uiPriority w:val="99"/>
    <w:semiHidden/>
    <w:rsid w:val="00F80750"/>
    <w:rPr>
      <w:rFonts w:ascii="Consolas" w:hAnsi="Consolas"/>
      <w:noProof w:val="0"/>
      <w:sz w:val="20"/>
      <w:szCs w:val="20"/>
      <w:lang w:val="en-AU"/>
    </w:rPr>
  </w:style>
  <w:style w:type="character" w:styleId="HTMLSample">
    <w:name w:val="HTML Sample"/>
    <w:basedOn w:val="DefaultParagraphFont"/>
    <w:uiPriority w:val="99"/>
    <w:semiHidden/>
    <w:unhideWhenUsed/>
    <w:locked/>
    <w:rsid w:val="00F80750"/>
    <w:rPr>
      <w:rFonts w:ascii="Consolas" w:hAnsi="Consolas"/>
      <w:noProof w:val="0"/>
      <w:sz w:val="24"/>
      <w:szCs w:val="24"/>
      <w:lang w:val="en-AU"/>
    </w:rPr>
  </w:style>
  <w:style w:type="character" w:styleId="HTMLTypewriter">
    <w:name w:val="HTML Typewriter"/>
    <w:basedOn w:val="DefaultParagraphFont"/>
    <w:uiPriority w:val="99"/>
    <w:semiHidden/>
    <w:unhideWhenUsed/>
    <w:locked/>
    <w:rsid w:val="00F80750"/>
    <w:rPr>
      <w:rFonts w:ascii="Consolas" w:hAnsi="Consolas"/>
      <w:noProof w:val="0"/>
      <w:sz w:val="20"/>
      <w:szCs w:val="20"/>
      <w:lang w:val="en-AU"/>
    </w:rPr>
  </w:style>
  <w:style w:type="character" w:styleId="HTMLVariable">
    <w:name w:val="HTML Variable"/>
    <w:basedOn w:val="DefaultParagraphFont"/>
    <w:uiPriority w:val="99"/>
    <w:semiHidden/>
    <w:unhideWhenUsed/>
    <w:locked/>
    <w:rsid w:val="00F80750"/>
    <w:rPr>
      <w:i/>
      <w:iCs/>
      <w:noProof w:val="0"/>
      <w:lang w:val="en-AU"/>
    </w:rPr>
  </w:style>
  <w:style w:type="paragraph" w:styleId="Index1">
    <w:name w:val="index 1"/>
    <w:basedOn w:val="Normal"/>
    <w:next w:val="Normal"/>
    <w:autoRedefine/>
    <w:uiPriority w:val="99"/>
    <w:semiHidden/>
    <w:unhideWhenUsed/>
    <w:locked/>
    <w:rsid w:val="00F80750"/>
    <w:pPr>
      <w:spacing w:after="0" w:line="240" w:lineRule="auto"/>
      <w:ind w:left="190" w:hanging="190"/>
    </w:pPr>
  </w:style>
  <w:style w:type="paragraph" w:styleId="Index2">
    <w:name w:val="index 2"/>
    <w:basedOn w:val="Normal"/>
    <w:next w:val="Normal"/>
    <w:autoRedefine/>
    <w:uiPriority w:val="99"/>
    <w:semiHidden/>
    <w:unhideWhenUsed/>
    <w:locked/>
    <w:rsid w:val="00F80750"/>
    <w:pPr>
      <w:spacing w:after="0" w:line="240" w:lineRule="auto"/>
      <w:ind w:left="380" w:hanging="190"/>
    </w:pPr>
  </w:style>
  <w:style w:type="paragraph" w:styleId="Index3">
    <w:name w:val="index 3"/>
    <w:basedOn w:val="Normal"/>
    <w:next w:val="Normal"/>
    <w:autoRedefine/>
    <w:uiPriority w:val="99"/>
    <w:semiHidden/>
    <w:unhideWhenUsed/>
    <w:locked/>
    <w:rsid w:val="00F80750"/>
    <w:pPr>
      <w:spacing w:after="0" w:line="240" w:lineRule="auto"/>
      <w:ind w:left="570" w:hanging="190"/>
    </w:pPr>
  </w:style>
  <w:style w:type="paragraph" w:styleId="Index4">
    <w:name w:val="index 4"/>
    <w:basedOn w:val="Normal"/>
    <w:next w:val="Normal"/>
    <w:autoRedefine/>
    <w:uiPriority w:val="99"/>
    <w:semiHidden/>
    <w:unhideWhenUsed/>
    <w:locked/>
    <w:rsid w:val="00F80750"/>
    <w:pPr>
      <w:spacing w:after="0" w:line="240" w:lineRule="auto"/>
      <w:ind w:left="760" w:hanging="190"/>
    </w:pPr>
  </w:style>
  <w:style w:type="paragraph" w:styleId="Index5">
    <w:name w:val="index 5"/>
    <w:basedOn w:val="Normal"/>
    <w:next w:val="Normal"/>
    <w:autoRedefine/>
    <w:uiPriority w:val="99"/>
    <w:semiHidden/>
    <w:unhideWhenUsed/>
    <w:locked/>
    <w:rsid w:val="00F80750"/>
    <w:pPr>
      <w:spacing w:after="0" w:line="240" w:lineRule="auto"/>
      <w:ind w:left="950" w:hanging="190"/>
    </w:pPr>
  </w:style>
  <w:style w:type="paragraph" w:styleId="Index6">
    <w:name w:val="index 6"/>
    <w:basedOn w:val="Normal"/>
    <w:next w:val="Normal"/>
    <w:autoRedefine/>
    <w:uiPriority w:val="99"/>
    <w:semiHidden/>
    <w:unhideWhenUsed/>
    <w:locked/>
    <w:rsid w:val="00F80750"/>
    <w:pPr>
      <w:spacing w:after="0" w:line="240" w:lineRule="auto"/>
      <w:ind w:left="1140" w:hanging="190"/>
    </w:pPr>
  </w:style>
  <w:style w:type="paragraph" w:styleId="Index7">
    <w:name w:val="index 7"/>
    <w:basedOn w:val="Normal"/>
    <w:next w:val="Normal"/>
    <w:autoRedefine/>
    <w:uiPriority w:val="99"/>
    <w:semiHidden/>
    <w:unhideWhenUsed/>
    <w:locked/>
    <w:rsid w:val="00F80750"/>
    <w:pPr>
      <w:spacing w:after="0" w:line="240" w:lineRule="auto"/>
      <w:ind w:left="1330" w:hanging="190"/>
    </w:pPr>
  </w:style>
  <w:style w:type="paragraph" w:styleId="Index8">
    <w:name w:val="index 8"/>
    <w:basedOn w:val="Normal"/>
    <w:next w:val="Normal"/>
    <w:autoRedefine/>
    <w:uiPriority w:val="99"/>
    <w:semiHidden/>
    <w:unhideWhenUsed/>
    <w:locked/>
    <w:rsid w:val="00F80750"/>
    <w:pPr>
      <w:spacing w:after="0" w:line="240" w:lineRule="auto"/>
      <w:ind w:left="1520" w:hanging="190"/>
    </w:pPr>
  </w:style>
  <w:style w:type="paragraph" w:styleId="Index9">
    <w:name w:val="index 9"/>
    <w:basedOn w:val="Normal"/>
    <w:next w:val="Normal"/>
    <w:autoRedefine/>
    <w:uiPriority w:val="99"/>
    <w:semiHidden/>
    <w:unhideWhenUsed/>
    <w:locked/>
    <w:rsid w:val="00F80750"/>
    <w:pPr>
      <w:spacing w:after="0" w:line="240" w:lineRule="auto"/>
      <w:ind w:left="1710" w:hanging="190"/>
    </w:pPr>
  </w:style>
  <w:style w:type="paragraph" w:styleId="IndexHeading">
    <w:name w:val="index heading"/>
    <w:basedOn w:val="Normal"/>
    <w:next w:val="Index1"/>
    <w:uiPriority w:val="99"/>
    <w:semiHidden/>
    <w:unhideWhenUsed/>
    <w:locked/>
    <w:rsid w:val="00F80750"/>
    <w:rPr>
      <w:rFonts w:asciiTheme="majorHAnsi" w:eastAsiaTheme="majorEastAsia" w:hAnsiTheme="majorHAnsi" w:cstheme="majorBidi"/>
      <w:b/>
      <w:bCs/>
    </w:rPr>
  </w:style>
  <w:style w:type="character" w:styleId="IntenseEmphasis">
    <w:name w:val="Intense Emphasis"/>
    <w:basedOn w:val="DefaultParagraphFont"/>
    <w:uiPriority w:val="21"/>
    <w:semiHidden/>
    <w:qFormat/>
    <w:locked/>
    <w:rsid w:val="00F80750"/>
    <w:rPr>
      <w:b/>
      <w:bCs/>
      <w:i/>
      <w:iCs/>
      <w:noProof w:val="0"/>
      <w:color w:val="DDDDDD" w:themeColor="accent1"/>
      <w:lang w:val="en-AU"/>
    </w:rPr>
  </w:style>
  <w:style w:type="paragraph" w:styleId="IntenseQuote">
    <w:name w:val="Intense Quote"/>
    <w:basedOn w:val="Normal"/>
    <w:next w:val="Normal"/>
    <w:link w:val="IntenseQuoteChar"/>
    <w:uiPriority w:val="30"/>
    <w:semiHidden/>
    <w:qFormat/>
    <w:locked/>
    <w:rsid w:val="00F80750"/>
    <w:pPr>
      <w:pBdr>
        <w:bottom w:val="single" w:sz="4" w:space="4" w:color="DDDDDD" w:themeColor="accent1"/>
      </w:pBdr>
      <w:spacing w:before="200" w:after="280"/>
      <w:ind w:left="936" w:right="936"/>
    </w:pPr>
    <w:rPr>
      <w:b/>
      <w:bCs/>
      <w:i/>
      <w:iCs/>
      <w:color w:val="DDDDDD" w:themeColor="accent1"/>
    </w:rPr>
  </w:style>
  <w:style w:type="character" w:customStyle="1" w:styleId="IntenseQuoteChar">
    <w:name w:val="Intense Quote Char"/>
    <w:basedOn w:val="DefaultParagraphFont"/>
    <w:link w:val="IntenseQuote"/>
    <w:uiPriority w:val="30"/>
    <w:semiHidden/>
    <w:rsid w:val="00F80750"/>
    <w:rPr>
      <w:b/>
      <w:bCs/>
      <w:i/>
      <w:iCs/>
      <w:noProof w:val="0"/>
      <w:color w:val="DDDDDD" w:themeColor="accent1"/>
      <w:lang w:val="en-AU"/>
    </w:rPr>
  </w:style>
  <w:style w:type="character" w:styleId="IntenseReference">
    <w:name w:val="Intense Reference"/>
    <w:basedOn w:val="DefaultParagraphFont"/>
    <w:uiPriority w:val="32"/>
    <w:semiHidden/>
    <w:qFormat/>
    <w:locked/>
    <w:rsid w:val="00F80750"/>
    <w:rPr>
      <w:b/>
      <w:bCs/>
      <w:smallCaps/>
      <w:noProof w:val="0"/>
      <w:color w:val="B2B2B2" w:themeColor="accent2"/>
      <w:spacing w:val="5"/>
      <w:u w:val="single"/>
      <w:lang w:val="en-AU"/>
    </w:rPr>
  </w:style>
  <w:style w:type="table" w:styleId="LightGrid">
    <w:name w:val="Light Grid"/>
    <w:basedOn w:val="TableNormal"/>
    <w:uiPriority w:val="62"/>
    <w:locked/>
    <w:rsid w:val="00F80750"/>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locked/>
    <w:rsid w:val="00F80750"/>
    <w:pPr>
      <w:spacing w:after="0" w:line="240" w:lineRule="auto"/>
    </w:pPr>
    <w:tblPr>
      <w:tblStyleRowBandSize w:val="1"/>
      <w:tblStyleColBandSize w:val="1"/>
      <w:tblBorders>
        <w:top w:val="single" w:sz="8" w:space="0" w:color="DDDDDD" w:themeColor="accent1"/>
        <w:left w:val="single" w:sz="8" w:space="0" w:color="DDDDDD" w:themeColor="accent1"/>
        <w:bottom w:val="single" w:sz="8" w:space="0" w:color="DDDDDD" w:themeColor="accent1"/>
        <w:right w:val="single" w:sz="8" w:space="0" w:color="DDDDDD" w:themeColor="accent1"/>
        <w:insideH w:val="single" w:sz="8" w:space="0" w:color="DDDDDD" w:themeColor="accent1"/>
        <w:insideV w:val="single" w:sz="8" w:space="0" w:color="DDDDD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DDDDDD" w:themeColor="accent1"/>
          <w:left w:val="single" w:sz="8" w:space="0" w:color="DDDDDD" w:themeColor="accent1"/>
          <w:bottom w:val="single" w:sz="18" w:space="0" w:color="DDDDDD" w:themeColor="accent1"/>
          <w:right w:val="single" w:sz="8" w:space="0" w:color="DDDDDD" w:themeColor="accent1"/>
          <w:insideH w:val="nil"/>
          <w:insideV w:val="single" w:sz="8" w:space="0" w:color="DDDDD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DDDDDD" w:themeColor="accent1"/>
          <w:left w:val="single" w:sz="8" w:space="0" w:color="DDDDDD" w:themeColor="accent1"/>
          <w:bottom w:val="single" w:sz="8" w:space="0" w:color="DDDDDD" w:themeColor="accent1"/>
          <w:right w:val="single" w:sz="8" w:space="0" w:color="DDDDDD" w:themeColor="accent1"/>
          <w:insideH w:val="nil"/>
          <w:insideV w:val="single" w:sz="8" w:space="0" w:color="DDDDD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DDDDDD" w:themeColor="accent1"/>
          <w:left w:val="single" w:sz="8" w:space="0" w:color="DDDDDD" w:themeColor="accent1"/>
          <w:bottom w:val="single" w:sz="8" w:space="0" w:color="DDDDDD" w:themeColor="accent1"/>
          <w:right w:val="single" w:sz="8" w:space="0" w:color="DDDDDD" w:themeColor="accent1"/>
        </w:tcBorders>
      </w:tcPr>
    </w:tblStylePr>
    <w:tblStylePr w:type="band1Vert">
      <w:tblPr/>
      <w:tcPr>
        <w:tcBorders>
          <w:top w:val="single" w:sz="8" w:space="0" w:color="DDDDDD" w:themeColor="accent1"/>
          <w:left w:val="single" w:sz="8" w:space="0" w:color="DDDDDD" w:themeColor="accent1"/>
          <w:bottom w:val="single" w:sz="8" w:space="0" w:color="DDDDDD" w:themeColor="accent1"/>
          <w:right w:val="single" w:sz="8" w:space="0" w:color="DDDDDD" w:themeColor="accent1"/>
        </w:tcBorders>
        <w:shd w:val="clear" w:color="auto" w:fill="F6F6F6" w:themeFill="accent1" w:themeFillTint="3F"/>
      </w:tcPr>
    </w:tblStylePr>
    <w:tblStylePr w:type="band1Horz">
      <w:tblPr/>
      <w:tcPr>
        <w:tcBorders>
          <w:top w:val="single" w:sz="8" w:space="0" w:color="DDDDDD" w:themeColor="accent1"/>
          <w:left w:val="single" w:sz="8" w:space="0" w:color="DDDDDD" w:themeColor="accent1"/>
          <w:bottom w:val="single" w:sz="8" w:space="0" w:color="DDDDDD" w:themeColor="accent1"/>
          <w:right w:val="single" w:sz="8" w:space="0" w:color="DDDDDD" w:themeColor="accent1"/>
          <w:insideV w:val="single" w:sz="8" w:space="0" w:color="DDDDDD" w:themeColor="accent1"/>
        </w:tcBorders>
        <w:shd w:val="clear" w:color="auto" w:fill="F6F6F6" w:themeFill="accent1" w:themeFillTint="3F"/>
      </w:tcPr>
    </w:tblStylePr>
    <w:tblStylePr w:type="band2Horz">
      <w:tblPr/>
      <w:tcPr>
        <w:tcBorders>
          <w:top w:val="single" w:sz="8" w:space="0" w:color="DDDDDD" w:themeColor="accent1"/>
          <w:left w:val="single" w:sz="8" w:space="0" w:color="DDDDDD" w:themeColor="accent1"/>
          <w:bottom w:val="single" w:sz="8" w:space="0" w:color="DDDDDD" w:themeColor="accent1"/>
          <w:right w:val="single" w:sz="8" w:space="0" w:color="DDDDDD" w:themeColor="accent1"/>
          <w:insideV w:val="single" w:sz="8" w:space="0" w:color="DDDDDD" w:themeColor="accent1"/>
        </w:tcBorders>
      </w:tcPr>
    </w:tblStylePr>
  </w:style>
  <w:style w:type="table" w:styleId="LightGrid-Accent2">
    <w:name w:val="Light Grid Accent 2"/>
    <w:basedOn w:val="TableNormal"/>
    <w:uiPriority w:val="62"/>
    <w:locked/>
    <w:rsid w:val="00F80750"/>
    <w:pPr>
      <w:spacing w:after="0" w:line="240" w:lineRule="auto"/>
    </w:pPr>
    <w:tblPr>
      <w:tblStyleRowBandSize w:val="1"/>
      <w:tblStyleColBandSize w:val="1"/>
      <w:tblBorders>
        <w:top w:val="single" w:sz="8" w:space="0" w:color="B2B2B2" w:themeColor="accent2"/>
        <w:left w:val="single" w:sz="8" w:space="0" w:color="B2B2B2" w:themeColor="accent2"/>
        <w:bottom w:val="single" w:sz="8" w:space="0" w:color="B2B2B2" w:themeColor="accent2"/>
        <w:right w:val="single" w:sz="8" w:space="0" w:color="B2B2B2" w:themeColor="accent2"/>
        <w:insideH w:val="single" w:sz="8" w:space="0" w:color="B2B2B2" w:themeColor="accent2"/>
        <w:insideV w:val="single" w:sz="8" w:space="0" w:color="B2B2B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2B2B2" w:themeColor="accent2"/>
          <w:left w:val="single" w:sz="8" w:space="0" w:color="B2B2B2" w:themeColor="accent2"/>
          <w:bottom w:val="single" w:sz="18" w:space="0" w:color="B2B2B2" w:themeColor="accent2"/>
          <w:right w:val="single" w:sz="8" w:space="0" w:color="B2B2B2" w:themeColor="accent2"/>
          <w:insideH w:val="nil"/>
          <w:insideV w:val="single" w:sz="8" w:space="0" w:color="B2B2B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2B2B2" w:themeColor="accent2"/>
          <w:left w:val="single" w:sz="8" w:space="0" w:color="B2B2B2" w:themeColor="accent2"/>
          <w:bottom w:val="single" w:sz="8" w:space="0" w:color="B2B2B2" w:themeColor="accent2"/>
          <w:right w:val="single" w:sz="8" w:space="0" w:color="B2B2B2" w:themeColor="accent2"/>
          <w:insideH w:val="nil"/>
          <w:insideV w:val="single" w:sz="8" w:space="0" w:color="B2B2B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2B2B2" w:themeColor="accent2"/>
          <w:left w:val="single" w:sz="8" w:space="0" w:color="B2B2B2" w:themeColor="accent2"/>
          <w:bottom w:val="single" w:sz="8" w:space="0" w:color="B2B2B2" w:themeColor="accent2"/>
          <w:right w:val="single" w:sz="8" w:space="0" w:color="B2B2B2" w:themeColor="accent2"/>
        </w:tcBorders>
      </w:tcPr>
    </w:tblStylePr>
    <w:tblStylePr w:type="band1Vert">
      <w:tblPr/>
      <w:tcPr>
        <w:tcBorders>
          <w:top w:val="single" w:sz="8" w:space="0" w:color="B2B2B2" w:themeColor="accent2"/>
          <w:left w:val="single" w:sz="8" w:space="0" w:color="B2B2B2" w:themeColor="accent2"/>
          <w:bottom w:val="single" w:sz="8" w:space="0" w:color="B2B2B2" w:themeColor="accent2"/>
          <w:right w:val="single" w:sz="8" w:space="0" w:color="B2B2B2" w:themeColor="accent2"/>
        </w:tcBorders>
        <w:shd w:val="clear" w:color="auto" w:fill="EBEBEB" w:themeFill="accent2" w:themeFillTint="3F"/>
      </w:tcPr>
    </w:tblStylePr>
    <w:tblStylePr w:type="band1Horz">
      <w:tblPr/>
      <w:tcPr>
        <w:tcBorders>
          <w:top w:val="single" w:sz="8" w:space="0" w:color="B2B2B2" w:themeColor="accent2"/>
          <w:left w:val="single" w:sz="8" w:space="0" w:color="B2B2B2" w:themeColor="accent2"/>
          <w:bottom w:val="single" w:sz="8" w:space="0" w:color="B2B2B2" w:themeColor="accent2"/>
          <w:right w:val="single" w:sz="8" w:space="0" w:color="B2B2B2" w:themeColor="accent2"/>
          <w:insideV w:val="single" w:sz="8" w:space="0" w:color="B2B2B2" w:themeColor="accent2"/>
        </w:tcBorders>
        <w:shd w:val="clear" w:color="auto" w:fill="EBEBEB" w:themeFill="accent2" w:themeFillTint="3F"/>
      </w:tcPr>
    </w:tblStylePr>
    <w:tblStylePr w:type="band2Horz">
      <w:tblPr/>
      <w:tcPr>
        <w:tcBorders>
          <w:top w:val="single" w:sz="8" w:space="0" w:color="B2B2B2" w:themeColor="accent2"/>
          <w:left w:val="single" w:sz="8" w:space="0" w:color="B2B2B2" w:themeColor="accent2"/>
          <w:bottom w:val="single" w:sz="8" w:space="0" w:color="B2B2B2" w:themeColor="accent2"/>
          <w:right w:val="single" w:sz="8" w:space="0" w:color="B2B2B2" w:themeColor="accent2"/>
          <w:insideV w:val="single" w:sz="8" w:space="0" w:color="B2B2B2" w:themeColor="accent2"/>
        </w:tcBorders>
      </w:tcPr>
    </w:tblStylePr>
  </w:style>
  <w:style w:type="table" w:styleId="LightGrid-Accent3">
    <w:name w:val="Light Grid Accent 3"/>
    <w:basedOn w:val="TableNormal"/>
    <w:uiPriority w:val="62"/>
    <w:locked/>
    <w:rsid w:val="00F80750"/>
    <w:pPr>
      <w:spacing w:after="0" w:line="240" w:lineRule="auto"/>
    </w:pPr>
    <w:tblPr>
      <w:tblStyleRowBandSize w:val="1"/>
      <w:tblStyleColBandSize w:val="1"/>
      <w:tblBorders>
        <w:top w:val="single" w:sz="8" w:space="0" w:color="969696" w:themeColor="accent3"/>
        <w:left w:val="single" w:sz="8" w:space="0" w:color="969696" w:themeColor="accent3"/>
        <w:bottom w:val="single" w:sz="8" w:space="0" w:color="969696" w:themeColor="accent3"/>
        <w:right w:val="single" w:sz="8" w:space="0" w:color="969696" w:themeColor="accent3"/>
        <w:insideH w:val="single" w:sz="8" w:space="0" w:color="969696" w:themeColor="accent3"/>
        <w:insideV w:val="single" w:sz="8" w:space="0" w:color="969696"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69696" w:themeColor="accent3"/>
          <w:left w:val="single" w:sz="8" w:space="0" w:color="969696" w:themeColor="accent3"/>
          <w:bottom w:val="single" w:sz="18" w:space="0" w:color="969696" w:themeColor="accent3"/>
          <w:right w:val="single" w:sz="8" w:space="0" w:color="969696" w:themeColor="accent3"/>
          <w:insideH w:val="nil"/>
          <w:insideV w:val="single" w:sz="8" w:space="0" w:color="969696"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69696" w:themeColor="accent3"/>
          <w:left w:val="single" w:sz="8" w:space="0" w:color="969696" w:themeColor="accent3"/>
          <w:bottom w:val="single" w:sz="8" w:space="0" w:color="969696" w:themeColor="accent3"/>
          <w:right w:val="single" w:sz="8" w:space="0" w:color="969696" w:themeColor="accent3"/>
          <w:insideH w:val="nil"/>
          <w:insideV w:val="single" w:sz="8" w:space="0" w:color="969696"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69696" w:themeColor="accent3"/>
          <w:left w:val="single" w:sz="8" w:space="0" w:color="969696" w:themeColor="accent3"/>
          <w:bottom w:val="single" w:sz="8" w:space="0" w:color="969696" w:themeColor="accent3"/>
          <w:right w:val="single" w:sz="8" w:space="0" w:color="969696" w:themeColor="accent3"/>
        </w:tcBorders>
      </w:tcPr>
    </w:tblStylePr>
    <w:tblStylePr w:type="band1Vert">
      <w:tblPr/>
      <w:tcPr>
        <w:tcBorders>
          <w:top w:val="single" w:sz="8" w:space="0" w:color="969696" w:themeColor="accent3"/>
          <w:left w:val="single" w:sz="8" w:space="0" w:color="969696" w:themeColor="accent3"/>
          <w:bottom w:val="single" w:sz="8" w:space="0" w:color="969696" w:themeColor="accent3"/>
          <w:right w:val="single" w:sz="8" w:space="0" w:color="969696" w:themeColor="accent3"/>
        </w:tcBorders>
        <w:shd w:val="clear" w:color="auto" w:fill="E5E5E5" w:themeFill="accent3" w:themeFillTint="3F"/>
      </w:tcPr>
    </w:tblStylePr>
    <w:tblStylePr w:type="band1Horz">
      <w:tblPr/>
      <w:tcPr>
        <w:tcBorders>
          <w:top w:val="single" w:sz="8" w:space="0" w:color="969696" w:themeColor="accent3"/>
          <w:left w:val="single" w:sz="8" w:space="0" w:color="969696" w:themeColor="accent3"/>
          <w:bottom w:val="single" w:sz="8" w:space="0" w:color="969696" w:themeColor="accent3"/>
          <w:right w:val="single" w:sz="8" w:space="0" w:color="969696" w:themeColor="accent3"/>
          <w:insideV w:val="single" w:sz="8" w:space="0" w:color="969696" w:themeColor="accent3"/>
        </w:tcBorders>
        <w:shd w:val="clear" w:color="auto" w:fill="E5E5E5" w:themeFill="accent3" w:themeFillTint="3F"/>
      </w:tcPr>
    </w:tblStylePr>
    <w:tblStylePr w:type="band2Horz">
      <w:tblPr/>
      <w:tcPr>
        <w:tcBorders>
          <w:top w:val="single" w:sz="8" w:space="0" w:color="969696" w:themeColor="accent3"/>
          <w:left w:val="single" w:sz="8" w:space="0" w:color="969696" w:themeColor="accent3"/>
          <w:bottom w:val="single" w:sz="8" w:space="0" w:color="969696" w:themeColor="accent3"/>
          <w:right w:val="single" w:sz="8" w:space="0" w:color="969696" w:themeColor="accent3"/>
          <w:insideV w:val="single" w:sz="8" w:space="0" w:color="969696" w:themeColor="accent3"/>
        </w:tcBorders>
      </w:tcPr>
    </w:tblStylePr>
  </w:style>
  <w:style w:type="table" w:styleId="LightGrid-Accent4">
    <w:name w:val="Light Grid Accent 4"/>
    <w:basedOn w:val="TableNormal"/>
    <w:uiPriority w:val="62"/>
    <w:locked/>
    <w:rsid w:val="00F80750"/>
    <w:pPr>
      <w:spacing w:after="0" w:line="240" w:lineRule="auto"/>
    </w:pPr>
    <w:tblPr>
      <w:tblStyleRowBandSize w:val="1"/>
      <w:tblStyleColBandSize w:val="1"/>
      <w:tblBorders>
        <w:top w:val="single" w:sz="8" w:space="0" w:color="808080" w:themeColor="accent4"/>
        <w:left w:val="single" w:sz="8" w:space="0" w:color="808080" w:themeColor="accent4"/>
        <w:bottom w:val="single" w:sz="8" w:space="0" w:color="808080" w:themeColor="accent4"/>
        <w:right w:val="single" w:sz="8" w:space="0" w:color="808080" w:themeColor="accent4"/>
        <w:insideH w:val="single" w:sz="8" w:space="0" w:color="808080" w:themeColor="accent4"/>
        <w:insideV w:val="single" w:sz="8" w:space="0" w:color="80808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8080" w:themeColor="accent4"/>
          <w:left w:val="single" w:sz="8" w:space="0" w:color="808080" w:themeColor="accent4"/>
          <w:bottom w:val="single" w:sz="18" w:space="0" w:color="808080" w:themeColor="accent4"/>
          <w:right w:val="single" w:sz="8" w:space="0" w:color="808080" w:themeColor="accent4"/>
          <w:insideH w:val="nil"/>
          <w:insideV w:val="single" w:sz="8" w:space="0" w:color="80808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8080" w:themeColor="accent4"/>
          <w:left w:val="single" w:sz="8" w:space="0" w:color="808080" w:themeColor="accent4"/>
          <w:bottom w:val="single" w:sz="8" w:space="0" w:color="808080" w:themeColor="accent4"/>
          <w:right w:val="single" w:sz="8" w:space="0" w:color="808080" w:themeColor="accent4"/>
          <w:insideH w:val="nil"/>
          <w:insideV w:val="single" w:sz="8" w:space="0" w:color="80808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8080" w:themeColor="accent4"/>
          <w:left w:val="single" w:sz="8" w:space="0" w:color="808080" w:themeColor="accent4"/>
          <w:bottom w:val="single" w:sz="8" w:space="0" w:color="808080" w:themeColor="accent4"/>
          <w:right w:val="single" w:sz="8" w:space="0" w:color="808080" w:themeColor="accent4"/>
        </w:tcBorders>
      </w:tcPr>
    </w:tblStylePr>
    <w:tblStylePr w:type="band1Vert">
      <w:tblPr/>
      <w:tcPr>
        <w:tcBorders>
          <w:top w:val="single" w:sz="8" w:space="0" w:color="808080" w:themeColor="accent4"/>
          <w:left w:val="single" w:sz="8" w:space="0" w:color="808080" w:themeColor="accent4"/>
          <w:bottom w:val="single" w:sz="8" w:space="0" w:color="808080" w:themeColor="accent4"/>
          <w:right w:val="single" w:sz="8" w:space="0" w:color="808080" w:themeColor="accent4"/>
        </w:tcBorders>
        <w:shd w:val="clear" w:color="auto" w:fill="DFDFDF" w:themeFill="accent4" w:themeFillTint="3F"/>
      </w:tcPr>
    </w:tblStylePr>
    <w:tblStylePr w:type="band1Horz">
      <w:tblPr/>
      <w:tcPr>
        <w:tcBorders>
          <w:top w:val="single" w:sz="8" w:space="0" w:color="808080" w:themeColor="accent4"/>
          <w:left w:val="single" w:sz="8" w:space="0" w:color="808080" w:themeColor="accent4"/>
          <w:bottom w:val="single" w:sz="8" w:space="0" w:color="808080" w:themeColor="accent4"/>
          <w:right w:val="single" w:sz="8" w:space="0" w:color="808080" w:themeColor="accent4"/>
          <w:insideV w:val="single" w:sz="8" w:space="0" w:color="808080" w:themeColor="accent4"/>
        </w:tcBorders>
        <w:shd w:val="clear" w:color="auto" w:fill="DFDFDF" w:themeFill="accent4" w:themeFillTint="3F"/>
      </w:tcPr>
    </w:tblStylePr>
    <w:tblStylePr w:type="band2Horz">
      <w:tblPr/>
      <w:tcPr>
        <w:tcBorders>
          <w:top w:val="single" w:sz="8" w:space="0" w:color="808080" w:themeColor="accent4"/>
          <w:left w:val="single" w:sz="8" w:space="0" w:color="808080" w:themeColor="accent4"/>
          <w:bottom w:val="single" w:sz="8" w:space="0" w:color="808080" w:themeColor="accent4"/>
          <w:right w:val="single" w:sz="8" w:space="0" w:color="808080" w:themeColor="accent4"/>
          <w:insideV w:val="single" w:sz="8" w:space="0" w:color="808080" w:themeColor="accent4"/>
        </w:tcBorders>
      </w:tcPr>
    </w:tblStylePr>
  </w:style>
  <w:style w:type="table" w:styleId="LightGrid-Accent5">
    <w:name w:val="Light Grid Accent 5"/>
    <w:basedOn w:val="TableNormal"/>
    <w:uiPriority w:val="62"/>
    <w:locked/>
    <w:rsid w:val="00F80750"/>
    <w:pPr>
      <w:spacing w:after="0" w:line="240" w:lineRule="auto"/>
    </w:p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insideH w:val="single" w:sz="8" w:space="0" w:color="5F5F5F" w:themeColor="accent5"/>
        <w:insideV w:val="single" w:sz="8" w:space="0" w:color="5F5F5F"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F5F5F" w:themeColor="accent5"/>
          <w:left w:val="single" w:sz="8" w:space="0" w:color="5F5F5F" w:themeColor="accent5"/>
          <w:bottom w:val="single" w:sz="18" w:space="0" w:color="5F5F5F" w:themeColor="accent5"/>
          <w:right w:val="single" w:sz="8" w:space="0" w:color="5F5F5F" w:themeColor="accent5"/>
          <w:insideH w:val="nil"/>
          <w:insideV w:val="single" w:sz="8" w:space="0" w:color="5F5F5F"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F5F5F" w:themeColor="accent5"/>
          <w:left w:val="single" w:sz="8" w:space="0" w:color="5F5F5F" w:themeColor="accent5"/>
          <w:bottom w:val="single" w:sz="8" w:space="0" w:color="5F5F5F" w:themeColor="accent5"/>
          <w:right w:val="single" w:sz="8" w:space="0" w:color="5F5F5F" w:themeColor="accent5"/>
          <w:insideH w:val="nil"/>
          <w:insideV w:val="single" w:sz="8" w:space="0" w:color="5F5F5F"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tblStylePr w:type="band1Vert">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shd w:val="clear" w:color="auto" w:fill="D7D7D7" w:themeFill="accent5" w:themeFillTint="3F"/>
      </w:tcPr>
    </w:tblStylePr>
    <w:tblStylePr w:type="band1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insideV w:val="single" w:sz="8" w:space="0" w:color="5F5F5F" w:themeColor="accent5"/>
        </w:tcBorders>
        <w:shd w:val="clear" w:color="auto" w:fill="D7D7D7" w:themeFill="accent5" w:themeFillTint="3F"/>
      </w:tcPr>
    </w:tblStylePr>
    <w:tblStylePr w:type="band2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insideV w:val="single" w:sz="8" w:space="0" w:color="5F5F5F" w:themeColor="accent5"/>
        </w:tcBorders>
      </w:tcPr>
    </w:tblStylePr>
  </w:style>
  <w:style w:type="table" w:styleId="LightGrid-Accent6">
    <w:name w:val="Light Grid Accent 6"/>
    <w:basedOn w:val="TableNormal"/>
    <w:uiPriority w:val="62"/>
    <w:locked/>
    <w:rsid w:val="00F80750"/>
    <w:pPr>
      <w:spacing w:after="0" w:line="240" w:lineRule="auto"/>
    </w:p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insideH w:val="single" w:sz="8" w:space="0" w:color="4D4D4D" w:themeColor="accent6"/>
        <w:insideV w:val="single" w:sz="8" w:space="0" w:color="4D4D4D"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D4D4D" w:themeColor="accent6"/>
          <w:left w:val="single" w:sz="8" w:space="0" w:color="4D4D4D" w:themeColor="accent6"/>
          <w:bottom w:val="single" w:sz="18" w:space="0" w:color="4D4D4D" w:themeColor="accent6"/>
          <w:right w:val="single" w:sz="8" w:space="0" w:color="4D4D4D" w:themeColor="accent6"/>
          <w:insideH w:val="nil"/>
          <w:insideV w:val="single" w:sz="8" w:space="0" w:color="4D4D4D"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D4D4D" w:themeColor="accent6"/>
          <w:left w:val="single" w:sz="8" w:space="0" w:color="4D4D4D" w:themeColor="accent6"/>
          <w:bottom w:val="single" w:sz="8" w:space="0" w:color="4D4D4D" w:themeColor="accent6"/>
          <w:right w:val="single" w:sz="8" w:space="0" w:color="4D4D4D" w:themeColor="accent6"/>
          <w:insideH w:val="nil"/>
          <w:insideV w:val="single" w:sz="8" w:space="0" w:color="4D4D4D"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tblStylePr w:type="band1Vert">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shd w:val="clear" w:color="auto" w:fill="D3D3D3" w:themeFill="accent6" w:themeFillTint="3F"/>
      </w:tcPr>
    </w:tblStylePr>
    <w:tblStylePr w:type="band1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insideV w:val="single" w:sz="8" w:space="0" w:color="4D4D4D" w:themeColor="accent6"/>
        </w:tcBorders>
        <w:shd w:val="clear" w:color="auto" w:fill="D3D3D3" w:themeFill="accent6" w:themeFillTint="3F"/>
      </w:tcPr>
    </w:tblStylePr>
    <w:tblStylePr w:type="band2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insideV w:val="single" w:sz="8" w:space="0" w:color="4D4D4D" w:themeColor="accent6"/>
        </w:tcBorders>
      </w:tcPr>
    </w:tblStylePr>
  </w:style>
  <w:style w:type="table" w:styleId="LightList">
    <w:name w:val="Light List"/>
    <w:basedOn w:val="TableNormal"/>
    <w:uiPriority w:val="61"/>
    <w:locked/>
    <w:rsid w:val="00F80750"/>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locked/>
    <w:rsid w:val="00F80750"/>
    <w:pPr>
      <w:spacing w:after="0" w:line="240" w:lineRule="auto"/>
    </w:pPr>
    <w:tblPr>
      <w:tblStyleRowBandSize w:val="1"/>
      <w:tblStyleColBandSize w:val="1"/>
      <w:tblBorders>
        <w:top w:val="single" w:sz="8" w:space="0" w:color="DDDDDD" w:themeColor="accent1"/>
        <w:left w:val="single" w:sz="8" w:space="0" w:color="DDDDDD" w:themeColor="accent1"/>
        <w:bottom w:val="single" w:sz="8" w:space="0" w:color="DDDDDD" w:themeColor="accent1"/>
        <w:right w:val="single" w:sz="8" w:space="0" w:color="DDDDDD" w:themeColor="accent1"/>
      </w:tblBorders>
    </w:tblPr>
    <w:tblStylePr w:type="firstRow">
      <w:pPr>
        <w:spacing w:before="0" w:after="0" w:line="240" w:lineRule="auto"/>
      </w:pPr>
      <w:rPr>
        <w:b/>
        <w:bCs/>
        <w:color w:val="FFFFFF" w:themeColor="background1"/>
      </w:rPr>
      <w:tblPr/>
      <w:tcPr>
        <w:shd w:val="clear" w:color="auto" w:fill="DDDDDD" w:themeFill="accent1"/>
      </w:tcPr>
    </w:tblStylePr>
    <w:tblStylePr w:type="lastRow">
      <w:pPr>
        <w:spacing w:before="0" w:after="0" w:line="240" w:lineRule="auto"/>
      </w:pPr>
      <w:rPr>
        <w:b/>
        <w:bCs/>
      </w:rPr>
      <w:tblPr/>
      <w:tcPr>
        <w:tcBorders>
          <w:top w:val="double" w:sz="6" w:space="0" w:color="DDDDDD" w:themeColor="accent1"/>
          <w:left w:val="single" w:sz="8" w:space="0" w:color="DDDDDD" w:themeColor="accent1"/>
          <w:bottom w:val="single" w:sz="8" w:space="0" w:color="DDDDDD" w:themeColor="accent1"/>
          <w:right w:val="single" w:sz="8" w:space="0" w:color="DDDDDD" w:themeColor="accent1"/>
        </w:tcBorders>
      </w:tcPr>
    </w:tblStylePr>
    <w:tblStylePr w:type="firstCol">
      <w:rPr>
        <w:b/>
        <w:bCs/>
      </w:rPr>
    </w:tblStylePr>
    <w:tblStylePr w:type="lastCol">
      <w:rPr>
        <w:b/>
        <w:bCs/>
      </w:rPr>
    </w:tblStylePr>
    <w:tblStylePr w:type="band1Vert">
      <w:tblPr/>
      <w:tcPr>
        <w:tcBorders>
          <w:top w:val="single" w:sz="8" w:space="0" w:color="DDDDDD" w:themeColor="accent1"/>
          <w:left w:val="single" w:sz="8" w:space="0" w:color="DDDDDD" w:themeColor="accent1"/>
          <w:bottom w:val="single" w:sz="8" w:space="0" w:color="DDDDDD" w:themeColor="accent1"/>
          <w:right w:val="single" w:sz="8" w:space="0" w:color="DDDDDD" w:themeColor="accent1"/>
        </w:tcBorders>
      </w:tcPr>
    </w:tblStylePr>
    <w:tblStylePr w:type="band1Horz">
      <w:tblPr/>
      <w:tcPr>
        <w:tcBorders>
          <w:top w:val="single" w:sz="8" w:space="0" w:color="DDDDDD" w:themeColor="accent1"/>
          <w:left w:val="single" w:sz="8" w:space="0" w:color="DDDDDD" w:themeColor="accent1"/>
          <w:bottom w:val="single" w:sz="8" w:space="0" w:color="DDDDDD" w:themeColor="accent1"/>
          <w:right w:val="single" w:sz="8" w:space="0" w:color="DDDDDD" w:themeColor="accent1"/>
        </w:tcBorders>
      </w:tcPr>
    </w:tblStylePr>
  </w:style>
  <w:style w:type="table" w:styleId="LightList-Accent2">
    <w:name w:val="Light List Accent 2"/>
    <w:basedOn w:val="TableNormal"/>
    <w:uiPriority w:val="61"/>
    <w:locked/>
    <w:rsid w:val="00F80750"/>
    <w:pPr>
      <w:spacing w:after="0" w:line="240" w:lineRule="auto"/>
    </w:pPr>
    <w:tblPr>
      <w:tblStyleRowBandSize w:val="1"/>
      <w:tblStyleColBandSize w:val="1"/>
      <w:tblBorders>
        <w:top w:val="single" w:sz="8" w:space="0" w:color="B2B2B2" w:themeColor="accent2"/>
        <w:left w:val="single" w:sz="8" w:space="0" w:color="B2B2B2" w:themeColor="accent2"/>
        <w:bottom w:val="single" w:sz="8" w:space="0" w:color="B2B2B2" w:themeColor="accent2"/>
        <w:right w:val="single" w:sz="8" w:space="0" w:color="B2B2B2" w:themeColor="accent2"/>
      </w:tblBorders>
    </w:tblPr>
    <w:tblStylePr w:type="firstRow">
      <w:pPr>
        <w:spacing w:before="0" w:after="0" w:line="240" w:lineRule="auto"/>
      </w:pPr>
      <w:rPr>
        <w:b/>
        <w:bCs/>
        <w:color w:val="FFFFFF" w:themeColor="background1"/>
      </w:rPr>
      <w:tblPr/>
      <w:tcPr>
        <w:shd w:val="clear" w:color="auto" w:fill="B2B2B2" w:themeFill="accent2"/>
      </w:tcPr>
    </w:tblStylePr>
    <w:tblStylePr w:type="lastRow">
      <w:pPr>
        <w:spacing w:before="0" w:after="0" w:line="240" w:lineRule="auto"/>
      </w:pPr>
      <w:rPr>
        <w:b/>
        <w:bCs/>
      </w:rPr>
      <w:tblPr/>
      <w:tcPr>
        <w:tcBorders>
          <w:top w:val="double" w:sz="6" w:space="0" w:color="B2B2B2" w:themeColor="accent2"/>
          <w:left w:val="single" w:sz="8" w:space="0" w:color="B2B2B2" w:themeColor="accent2"/>
          <w:bottom w:val="single" w:sz="8" w:space="0" w:color="B2B2B2" w:themeColor="accent2"/>
          <w:right w:val="single" w:sz="8" w:space="0" w:color="B2B2B2" w:themeColor="accent2"/>
        </w:tcBorders>
      </w:tcPr>
    </w:tblStylePr>
    <w:tblStylePr w:type="firstCol">
      <w:rPr>
        <w:b/>
        <w:bCs/>
      </w:rPr>
    </w:tblStylePr>
    <w:tblStylePr w:type="lastCol">
      <w:rPr>
        <w:b/>
        <w:bCs/>
      </w:rPr>
    </w:tblStylePr>
    <w:tblStylePr w:type="band1Vert">
      <w:tblPr/>
      <w:tcPr>
        <w:tcBorders>
          <w:top w:val="single" w:sz="8" w:space="0" w:color="B2B2B2" w:themeColor="accent2"/>
          <w:left w:val="single" w:sz="8" w:space="0" w:color="B2B2B2" w:themeColor="accent2"/>
          <w:bottom w:val="single" w:sz="8" w:space="0" w:color="B2B2B2" w:themeColor="accent2"/>
          <w:right w:val="single" w:sz="8" w:space="0" w:color="B2B2B2" w:themeColor="accent2"/>
        </w:tcBorders>
      </w:tcPr>
    </w:tblStylePr>
    <w:tblStylePr w:type="band1Horz">
      <w:tblPr/>
      <w:tcPr>
        <w:tcBorders>
          <w:top w:val="single" w:sz="8" w:space="0" w:color="B2B2B2" w:themeColor="accent2"/>
          <w:left w:val="single" w:sz="8" w:space="0" w:color="B2B2B2" w:themeColor="accent2"/>
          <w:bottom w:val="single" w:sz="8" w:space="0" w:color="B2B2B2" w:themeColor="accent2"/>
          <w:right w:val="single" w:sz="8" w:space="0" w:color="B2B2B2" w:themeColor="accent2"/>
        </w:tcBorders>
      </w:tcPr>
    </w:tblStylePr>
  </w:style>
  <w:style w:type="table" w:styleId="LightList-Accent3">
    <w:name w:val="Light List Accent 3"/>
    <w:basedOn w:val="TableNormal"/>
    <w:uiPriority w:val="61"/>
    <w:locked/>
    <w:rsid w:val="00F80750"/>
    <w:pPr>
      <w:spacing w:after="0" w:line="240" w:lineRule="auto"/>
    </w:pPr>
    <w:tblPr>
      <w:tblStyleRowBandSize w:val="1"/>
      <w:tblStyleColBandSize w:val="1"/>
      <w:tblBorders>
        <w:top w:val="single" w:sz="8" w:space="0" w:color="969696" w:themeColor="accent3"/>
        <w:left w:val="single" w:sz="8" w:space="0" w:color="969696" w:themeColor="accent3"/>
        <w:bottom w:val="single" w:sz="8" w:space="0" w:color="969696" w:themeColor="accent3"/>
        <w:right w:val="single" w:sz="8" w:space="0" w:color="969696" w:themeColor="accent3"/>
      </w:tblBorders>
    </w:tblPr>
    <w:tblStylePr w:type="firstRow">
      <w:pPr>
        <w:spacing w:before="0" w:after="0" w:line="240" w:lineRule="auto"/>
      </w:pPr>
      <w:rPr>
        <w:b/>
        <w:bCs/>
        <w:color w:val="FFFFFF" w:themeColor="background1"/>
      </w:rPr>
      <w:tblPr/>
      <w:tcPr>
        <w:shd w:val="clear" w:color="auto" w:fill="969696" w:themeFill="accent3"/>
      </w:tcPr>
    </w:tblStylePr>
    <w:tblStylePr w:type="lastRow">
      <w:pPr>
        <w:spacing w:before="0" w:after="0" w:line="240" w:lineRule="auto"/>
      </w:pPr>
      <w:rPr>
        <w:b/>
        <w:bCs/>
      </w:rPr>
      <w:tblPr/>
      <w:tcPr>
        <w:tcBorders>
          <w:top w:val="double" w:sz="6" w:space="0" w:color="969696" w:themeColor="accent3"/>
          <w:left w:val="single" w:sz="8" w:space="0" w:color="969696" w:themeColor="accent3"/>
          <w:bottom w:val="single" w:sz="8" w:space="0" w:color="969696" w:themeColor="accent3"/>
          <w:right w:val="single" w:sz="8" w:space="0" w:color="969696" w:themeColor="accent3"/>
        </w:tcBorders>
      </w:tcPr>
    </w:tblStylePr>
    <w:tblStylePr w:type="firstCol">
      <w:rPr>
        <w:b/>
        <w:bCs/>
      </w:rPr>
    </w:tblStylePr>
    <w:tblStylePr w:type="lastCol">
      <w:rPr>
        <w:b/>
        <w:bCs/>
      </w:rPr>
    </w:tblStylePr>
    <w:tblStylePr w:type="band1Vert">
      <w:tblPr/>
      <w:tcPr>
        <w:tcBorders>
          <w:top w:val="single" w:sz="8" w:space="0" w:color="969696" w:themeColor="accent3"/>
          <w:left w:val="single" w:sz="8" w:space="0" w:color="969696" w:themeColor="accent3"/>
          <w:bottom w:val="single" w:sz="8" w:space="0" w:color="969696" w:themeColor="accent3"/>
          <w:right w:val="single" w:sz="8" w:space="0" w:color="969696" w:themeColor="accent3"/>
        </w:tcBorders>
      </w:tcPr>
    </w:tblStylePr>
    <w:tblStylePr w:type="band1Horz">
      <w:tblPr/>
      <w:tcPr>
        <w:tcBorders>
          <w:top w:val="single" w:sz="8" w:space="0" w:color="969696" w:themeColor="accent3"/>
          <w:left w:val="single" w:sz="8" w:space="0" w:color="969696" w:themeColor="accent3"/>
          <w:bottom w:val="single" w:sz="8" w:space="0" w:color="969696" w:themeColor="accent3"/>
          <w:right w:val="single" w:sz="8" w:space="0" w:color="969696" w:themeColor="accent3"/>
        </w:tcBorders>
      </w:tcPr>
    </w:tblStylePr>
  </w:style>
  <w:style w:type="table" w:styleId="LightList-Accent4">
    <w:name w:val="Light List Accent 4"/>
    <w:basedOn w:val="TableNormal"/>
    <w:uiPriority w:val="61"/>
    <w:locked/>
    <w:rsid w:val="00F80750"/>
    <w:pPr>
      <w:spacing w:after="0" w:line="240" w:lineRule="auto"/>
    </w:pPr>
    <w:tblPr>
      <w:tblStyleRowBandSize w:val="1"/>
      <w:tblStyleColBandSize w:val="1"/>
      <w:tblBorders>
        <w:top w:val="single" w:sz="8" w:space="0" w:color="808080" w:themeColor="accent4"/>
        <w:left w:val="single" w:sz="8" w:space="0" w:color="808080" w:themeColor="accent4"/>
        <w:bottom w:val="single" w:sz="8" w:space="0" w:color="808080" w:themeColor="accent4"/>
        <w:right w:val="single" w:sz="8" w:space="0" w:color="808080" w:themeColor="accent4"/>
      </w:tblBorders>
    </w:tblPr>
    <w:tblStylePr w:type="firstRow">
      <w:pPr>
        <w:spacing w:before="0" w:after="0" w:line="240" w:lineRule="auto"/>
      </w:pPr>
      <w:rPr>
        <w:b/>
        <w:bCs/>
        <w:color w:val="FFFFFF" w:themeColor="background1"/>
      </w:rPr>
      <w:tblPr/>
      <w:tcPr>
        <w:shd w:val="clear" w:color="auto" w:fill="808080" w:themeFill="accent4"/>
      </w:tcPr>
    </w:tblStylePr>
    <w:tblStylePr w:type="lastRow">
      <w:pPr>
        <w:spacing w:before="0" w:after="0" w:line="240" w:lineRule="auto"/>
      </w:pPr>
      <w:rPr>
        <w:b/>
        <w:bCs/>
      </w:rPr>
      <w:tblPr/>
      <w:tcPr>
        <w:tcBorders>
          <w:top w:val="double" w:sz="6" w:space="0" w:color="808080" w:themeColor="accent4"/>
          <w:left w:val="single" w:sz="8" w:space="0" w:color="808080" w:themeColor="accent4"/>
          <w:bottom w:val="single" w:sz="8" w:space="0" w:color="808080" w:themeColor="accent4"/>
          <w:right w:val="single" w:sz="8" w:space="0" w:color="808080" w:themeColor="accent4"/>
        </w:tcBorders>
      </w:tcPr>
    </w:tblStylePr>
    <w:tblStylePr w:type="firstCol">
      <w:rPr>
        <w:b/>
        <w:bCs/>
      </w:rPr>
    </w:tblStylePr>
    <w:tblStylePr w:type="lastCol">
      <w:rPr>
        <w:b/>
        <w:bCs/>
      </w:rPr>
    </w:tblStylePr>
    <w:tblStylePr w:type="band1Vert">
      <w:tblPr/>
      <w:tcPr>
        <w:tcBorders>
          <w:top w:val="single" w:sz="8" w:space="0" w:color="808080" w:themeColor="accent4"/>
          <w:left w:val="single" w:sz="8" w:space="0" w:color="808080" w:themeColor="accent4"/>
          <w:bottom w:val="single" w:sz="8" w:space="0" w:color="808080" w:themeColor="accent4"/>
          <w:right w:val="single" w:sz="8" w:space="0" w:color="808080" w:themeColor="accent4"/>
        </w:tcBorders>
      </w:tcPr>
    </w:tblStylePr>
    <w:tblStylePr w:type="band1Horz">
      <w:tblPr/>
      <w:tcPr>
        <w:tcBorders>
          <w:top w:val="single" w:sz="8" w:space="0" w:color="808080" w:themeColor="accent4"/>
          <w:left w:val="single" w:sz="8" w:space="0" w:color="808080" w:themeColor="accent4"/>
          <w:bottom w:val="single" w:sz="8" w:space="0" w:color="808080" w:themeColor="accent4"/>
          <w:right w:val="single" w:sz="8" w:space="0" w:color="808080" w:themeColor="accent4"/>
        </w:tcBorders>
      </w:tcPr>
    </w:tblStylePr>
  </w:style>
  <w:style w:type="table" w:styleId="LightList-Accent5">
    <w:name w:val="Light List Accent 5"/>
    <w:basedOn w:val="TableNormal"/>
    <w:uiPriority w:val="61"/>
    <w:locked/>
    <w:rsid w:val="00F80750"/>
    <w:pPr>
      <w:spacing w:after="0" w:line="240" w:lineRule="auto"/>
    </w:p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tblBorders>
    </w:tblPr>
    <w:tblStylePr w:type="firstRow">
      <w:pPr>
        <w:spacing w:before="0" w:after="0" w:line="240" w:lineRule="auto"/>
      </w:pPr>
      <w:rPr>
        <w:b/>
        <w:bCs/>
        <w:color w:val="FFFFFF" w:themeColor="background1"/>
      </w:rPr>
      <w:tblPr/>
      <w:tcPr>
        <w:shd w:val="clear" w:color="auto" w:fill="5F5F5F" w:themeFill="accent5"/>
      </w:tcPr>
    </w:tblStylePr>
    <w:tblStylePr w:type="lastRow">
      <w:pPr>
        <w:spacing w:before="0" w:after="0" w:line="240" w:lineRule="auto"/>
      </w:pPr>
      <w:rPr>
        <w:b/>
        <w:bCs/>
      </w:rPr>
      <w:tblPr/>
      <w:tcPr>
        <w:tcBorders>
          <w:top w:val="double" w:sz="6" w:space="0" w:color="5F5F5F" w:themeColor="accent5"/>
          <w:left w:val="single" w:sz="8" w:space="0" w:color="5F5F5F" w:themeColor="accent5"/>
          <w:bottom w:val="single" w:sz="8" w:space="0" w:color="5F5F5F" w:themeColor="accent5"/>
          <w:right w:val="single" w:sz="8" w:space="0" w:color="5F5F5F" w:themeColor="accent5"/>
        </w:tcBorders>
      </w:tcPr>
    </w:tblStylePr>
    <w:tblStylePr w:type="firstCol">
      <w:rPr>
        <w:b/>
        <w:bCs/>
      </w:rPr>
    </w:tblStylePr>
    <w:tblStylePr w:type="lastCol">
      <w:rPr>
        <w:b/>
        <w:bCs/>
      </w:rPr>
    </w:tblStylePr>
    <w:tblStylePr w:type="band1Vert">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tblStylePr w:type="band1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style>
  <w:style w:type="table" w:styleId="LightList-Accent6">
    <w:name w:val="Light List Accent 6"/>
    <w:basedOn w:val="TableNormal"/>
    <w:uiPriority w:val="61"/>
    <w:locked/>
    <w:rsid w:val="00F80750"/>
    <w:pPr>
      <w:spacing w:after="0" w:line="240" w:lineRule="auto"/>
    </w:p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tblBorders>
    </w:tblPr>
    <w:tblStylePr w:type="firstRow">
      <w:pPr>
        <w:spacing w:before="0" w:after="0" w:line="240" w:lineRule="auto"/>
      </w:pPr>
      <w:rPr>
        <w:b/>
        <w:bCs/>
        <w:color w:val="FFFFFF" w:themeColor="background1"/>
      </w:rPr>
      <w:tblPr/>
      <w:tcPr>
        <w:shd w:val="clear" w:color="auto" w:fill="4D4D4D" w:themeFill="accent6"/>
      </w:tcPr>
    </w:tblStylePr>
    <w:tblStylePr w:type="lastRow">
      <w:pPr>
        <w:spacing w:before="0" w:after="0" w:line="240" w:lineRule="auto"/>
      </w:pPr>
      <w:rPr>
        <w:b/>
        <w:bCs/>
      </w:rPr>
      <w:tblPr/>
      <w:tcPr>
        <w:tcBorders>
          <w:top w:val="double" w:sz="6" w:space="0" w:color="4D4D4D" w:themeColor="accent6"/>
          <w:left w:val="single" w:sz="8" w:space="0" w:color="4D4D4D" w:themeColor="accent6"/>
          <w:bottom w:val="single" w:sz="8" w:space="0" w:color="4D4D4D" w:themeColor="accent6"/>
          <w:right w:val="single" w:sz="8" w:space="0" w:color="4D4D4D" w:themeColor="accent6"/>
        </w:tcBorders>
      </w:tcPr>
    </w:tblStylePr>
    <w:tblStylePr w:type="firstCol">
      <w:rPr>
        <w:b/>
        <w:bCs/>
      </w:rPr>
    </w:tblStylePr>
    <w:tblStylePr w:type="lastCol">
      <w:rPr>
        <w:b/>
        <w:bCs/>
      </w:rPr>
    </w:tblStylePr>
    <w:tblStylePr w:type="band1Vert">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tblStylePr w:type="band1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style>
  <w:style w:type="table" w:styleId="LightShading">
    <w:name w:val="Light Shading"/>
    <w:basedOn w:val="TableNormal"/>
    <w:uiPriority w:val="60"/>
    <w:locked/>
    <w:rsid w:val="00E418DC"/>
    <w:pPr>
      <w:spacing w:before="57" w:line="240" w:lineRule="auto"/>
      <w:ind w:left="108" w:right="108"/>
      <w:jc w:val="right"/>
    </w:pPr>
    <w:rPr>
      <w:color w:val="000000" w:themeColor="text1" w:themeShade="BF"/>
      <w:sz w:val="17"/>
    </w:rPr>
    <w:tblPr>
      <w:tblStyleRowBandSize w:val="1"/>
      <w:tblStyleColBandSize w:val="1"/>
      <w:tblBorders>
        <w:top w:val="single" w:sz="8" w:space="0" w:color="000000" w:themeColor="text1"/>
        <w:bottom w:val="single" w:sz="8" w:space="0" w:color="000000" w:themeColor="text1"/>
      </w:tblBorders>
      <w:tblCellMar>
        <w:left w:w="0" w:type="dxa"/>
        <w:right w:w="0" w:type="dxa"/>
      </w:tblCellMar>
    </w:tblPr>
    <w:tblStylePr w:type="firstRow">
      <w:pPr>
        <w:wordWrap/>
        <w:spacing w:beforeLines="0" w:before="57" w:beforeAutospacing="0" w:after="0" w:afterAutospacing="0" w:line="240" w:lineRule="auto"/>
        <w:jc w:val="left"/>
      </w:pPr>
      <w:rPr>
        <w:rFonts w:asciiTheme="majorHAnsi" w:hAnsiTheme="majorHAnsi"/>
        <w:b/>
        <w:bCs/>
        <w:color w:val="FFFFFF" w:themeColor="background1"/>
        <w:sz w:val="20"/>
      </w:rPr>
      <w:tblPr/>
      <w:trPr>
        <w:tblHeader/>
      </w:trPr>
      <w:tcPr>
        <w:shd w:val="clear" w:color="auto" w:fill="5F5F5F" w:themeFill="accent5"/>
      </w:tcPr>
    </w:tblStylePr>
    <w:tblStylePr w:type="lastRow">
      <w:pPr>
        <w:wordWrap/>
        <w:spacing w:beforeLines="0" w:before="57" w:beforeAutospacing="0" w:afterLines="0" w:after="114" w:afterAutospacing="0" w:line="240" w:lineRule="auto"/>
      </w:pPr>
      <w:rPr>
        <w:b/>
        <w:bCs/>
      </w:rPr>
      <w:tblPr/>
      <w:tcPr>
        <w:shd w:val="clear" w:color="auto" w:fill="DDDDDD" w:themeFill="accent1"/>
      </w:tcPr>
    </w:tblStylePr>
    <w:tblStylePr w:type="firstCol">
      <w:pPr>
        <w:jc w:val="left"/>
      </w:pPr>
      <w:rPr>
        <w:b/>
        <w:bCs/>
      </w:rPr>
      <w:tblPr/>
      <w:tcPr>
        <w:shd w:val="clear" w:color="auto" w:fill="DDDDDD" w:themeFill="accent1"/>
      </w:tcPr>
    </w:tblStylePr>
    <w:tblStylePr w:type="lastCol">
      <w:rPr>
        <w:b/>
        <w:bCs/>
      </w:rPr>
    </w:tblStylePr>
    <w:tblStylePr w:type="band1Vert">
      <w:tblPr/>
      <w:tcPr>
        <w:shd w:val="clear" w:color="auto" w:fill="DDDDDD" w:themeFill="accent1"/>
      </w:tcPr>
    </w:tblStylePr>
    <w:tblStylePr w:type="band2Vert">
      <w:tblPr/>
      <w:tcPr>
        <w:shd w:val="clear" w:color="auto" w:fill="DDDDDD" w:themeFill="accent1"/>
      </w:tcPr>
    </w:tblStylePr>
    <w:tblStylePr w:type="band1Horz">
      <w:tblPr/>
      <w:tcPr>
        <w:shd w:val="clear" w:color="auto" w:fill="DDDDDD" w:themeFill="accent1"/>
      </w:tcPr>
    </w:tblStylePr>
    <w:tblStylePr w:type="band2Horz">
      <w:tblPr/>
      <w:tcPr>
        <w:shd w:val="clear" w:color="auto" w:fill="DDDDDD" w:themeFill="accent1"/>
      </w:tcPr>
    </w:tblStylePr>
  </w:style>
  <w:style w:type="table" w:styleId="LightShading-Accent1">
    <w:name w:val="Light Shading Accent 1"/>
    <w:basedOn w:val="TableNormal"/>
    <w:uiPriority w:val="60"/>
    <w:locked/>
    <w:rsid w:val="00F80750"/>
    <w:pPr>
      <w:spacing w:after="0" w:line="240" w:lineRule="auto"/>
    </w:pPr>
    <w:rPr>
      <w:color w:val="A5A5A5" w:themeColor="accent1" w:themeShade="BF"/>
    </w:rPr>
    <w:tblPr>
      <w:tblStyleRowBandSize w:val="1"/>
      <w:tblStyleColBandSize w:val="1"/>
      <w:tblBorders>
        <w:top w:val="single" w:sz="8" w:space="0" w:color="DDDDDD" w:themeColor="accent1"/>
        <w:bottom w:val="single" w:sz="8" w:space="0" w:color="DDDDDD" w:themeColor="accent1"/>
      </w:tblBorders>
    </w:tblPr>
    <w:tblStylePr w:type="firstRow">
      <w:pPr>
        <w:spacing w:before="0" w:after="0" w:line="240" w:lineRule="auto"/>
      </w:pPr>
      <w:rPr>
        <w:b/>
        <w:bCs/>
      </w:rPr>
      <w:tblPr/>
      <w:tcPr>
        <w:tcBorders>
          <w:top w:val="single" w:sz="8" w:space="0" w:color="DDDDDD" w:themeColor="accent1"/>
          <w:left w:val="nil"/>
          <w:bottom w:val="single" w:sz="8" w:space="0" w:color="DDDDDD" w:themeColor="accent1"/>
          <w:right w:val="nil"/>
          <w:insideH w:val="nil"/>
          <w:insideV w:val="nil"/>
        </w:tcBorders>
      </w:tcPr>
    </w:tblStylePr>
    <w:tblStylePr w:type="lastRow">
      <w:pPr>
        <w:spacing w:before="0" w:after="0" w:line="240" w:lineRule="auto"/>
      </w:pPr>
      <w:rPr>
        <w:b/>
        <w:bCs/>
      </w:rPr>
      <w:tblPr/>
      <w:tcPr>
        <w:tcBorders>
          <w:top w:val="single" w:sz="8" w:space="0" w:color="DDDDDD" w:themeColor="accent1"/>
          <w:left w:val="nil"/>
          <w:bottom w:val="single" w:sz="8" w:space="0" w:color="DDDDD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6F6F6" w:themeFill="accent1" w:themeFillTint="3F"/>
      </w:tcPr>
    </w:tblStylePr>
    <w:tblStylePr w:type="band1Horz">
      <w:tblPr/>
      <w:tcPr>
        <w:tcBorders>
          <w:left w:val="nil"/>
          <w:right w:val="nil"/>
          <w:insideH w:val="nil"/>
          <w:insideV w:val="nil"/>
        </w:tcBorders>
        <w:shd w:val="clear" w:color="auto" w:fill="F6F6F6" w:themeFill="accent1" w:themeFillTint="3F"/>
      </w:tcPr>
    </w:tblStylePr>
  </w:style>
  <w:style w:type="table" w:styleId="LightShading-Accent2">
    <w:name w:val="Light Shading Accent 2"/>
    <w:basedOn w:val="TableNormal"/>
    <w:uiPriority w:val="60"/>
    <w:locked/>
    <w:rsid w:val="00F80750"/>
    <w:pPr>
      <w:spacing w:after="0" w:line="240" w:lineRule="auto"/>
    </w:pPr>
    <w:rPr>
      <w:color w:val="858585" w:themeColor="accent2" w:themeShade="BF"/>
    </w:rPr>
    <w:tblPr>
      <w:tblStyleRowBandSize w:val="1"/>
      <w:tblStyleColBandSize w:val="1"/>
      <w:tblBorders>
        <w:top w:val="single" w:sz="8" w:space="0" w:color="B2B2B2" w:themeColor="accent2"/>
        <w:bottom w:val="single" w:sz="8" w:space="0" w:color="B2B2B2" w:themeColor="accent2"/>
      </w:tblBorders>
    </w:tblPr>
    <w:tblStylePr w:type="firstRow">
      <w:pPr>
        <w:spacing w:before="0" w:after="0" w:line="240" w:lineRule="auto"/>
      </w:pPr>
      <w:rPr>
        <w:b/>
        <w:bCs/>
      </w:rPr>
      <w:tblPr/>
      <w:tcPr>
        <w:tcBorders>
          <w:top w:val="single" w:sz="8" w:space="0" w:color="B2B2B2" w:themeColor="accent2"/>
          <w:left w:val="nil"/>
          <w:bottom w:val="single" w:sz="8" w:space="0" w:color="B2B2B2" w:themeColor="accent2"/>
          <w:right w:val="nil"/>
          <w:insideH w:val="nil"/>
          <w:insideV w:val="nil"/>
        </w:tcBorders>
      </w:tcPr>
    </w:tblStylePr>
    <w:tblStylePr w:type="lastRow">
      <w:pPr>
        <w:spacing w:before="0" w:after="0" w:line="240" w:lineRule="auto"/>
      </w:pPr>
      <w:rPr>
        <w:b/>
        <w:bCs/>
      </w:rPr>
      <w:tblPr/>
      <w:tcPr>
        <w:tcBorders>
          <w:top w:val="single" w:sz="8" w:space="0" w:color="B2B2B2" w:themeColor="accent2"/>
          <w:left w:val="nil"/>
          <w:bottom w:val="single" w:sz="8" w:space="0" w:color="B2B2B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EBEB" w:themeFill="accent2" w:themeFillTint="3F"/>
      </w:tcPr>
    </w:tblStylePr>
    <w:tblStylePr w:type="band1Horz">
      <w:tblPr/>
      <w:tcPr>
        <w:tcBorders>
          <w:left w:val="nil"/>
          <w:right w:val="nil"/>
          <w:insideH w:val="nil"/>
          <w:insideV w:val="nil"/>
        </w:tcBorders>
        <w:shd w:val="clear" w:color="auto" w:fill="EBEBEB" w:themeFill="accent2" w:themeFillTint="3F"/>
      </w:tcPr>
    </w:tblStylePr>
  </w:style>
  <w:style w:type="table" w:styleId="LightShading-Accent3">
    <w:name w:val="Light Shading Accent 3"/>
    <w:basedOn w:val="TableNormal"/>
    <w:uiPriority w:val="60"/>
    <w:locked/>
    <w:rsid w:val="00F80750"/>
    <w:pPr>
      <w:spacing w:after="0" w:line="240" w:lineRule="auto"/>
    </w:pPr>
    <w:rPr>
      <w:color w:val="707070" w:themeColor="accent3" w:themeShade="BF"/>
    </w:rPr>
    <w:tblPr>
      <w:tblStyleRowBandSize w:val="1"/>
      <w:tblStyleColBandSize w:val="1"/>
      <w:tblBorders>
        <w:top w:val="single" w:sz="8" w:space="0" w:color="969696" w:themeColor="accent3"/>
        <w:bottom w:val="single" w:sz="8" w:space="0" w:color="969696" w:themeColor="accent3"/>
      </w:tblBorders>
    </w:tblPr>
    <w:tblStylePr w:type="firstRow">
      <w:pPr>
        <w:spacing w:before="0" w:after="0" w:line="240" w:lineRule="auto"/>
      </w:pPr>
      <w:rPr>
        <w:b/>
        <w:bCs/>
      </w:rPr>
      <w:tblPr/>
      <w:tcPr>
        <w:tcBorders>
          <w:top w:val="single" w:sz="8" w:space="0" w:color="969696" w:themeColor="accent3"/>
          <w:left w:val="nil"/>
          <w:bottom w:val="single" w:sz="8" w:space="0" w:color="969696" w:themeColor="accent3"/>
          <w:right w:val="nil"/>
          <w:insideH w:val="nil"/>
          <w:insideV w:val="nil"/>
        </w:tcBorders>
      </w:tcPr>
    </w:tblStylePr>
    <w:tblStylePr w:type="lastRow">
      <w:pPr>
        <w:spacing w:before="0" w:after="0" w:line="240" w:lineRule="auto"/>
      </w:pPr>
      <w:rPr>
        <w:b/>
        <w:bCs/>
      </w:rPr>
      <w:tblPr/>
      <w:tcPr>
        <w:tcBorders>
          <w:top w:val="single" w:sz="8" w:space="0" w:color="969696" w:themeColor="accent3"/>
          <w:left w:val="nil"/>
          <w:bottom w:val="single" w:sz="8" w:space="0" w:color="969696"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5E5E5" w:themeFill="accent3" w:themeFillTint="3F"/>
      </w:tcPr>
    </w:tblStylePr>
    <w:tblStylePr w:type="band1Horz">
      <w:tblPr/>
      <w:tcPr>
        <w:tcBorders>
          <w:left w:val="nil"/>
          <w:right w:val="nil"/>
          <w:insideH w:val="nil"/>
          <w:insideV w:val="nil"/>
        </w:tcBorders>
        <w:shd w:val="clear" w:color="auto" w:fill="E5E5E5" w:themeFill="accent3" w:themeFillTint="3F"/>
      </w:tcPr>
    </w:tblStylePr>
  </w:style>
  <w:style w:type="table" w:styleId="LightShading-Accent4">
    <w:name w:val="Light Shading Accent 4"/>
    <w:basedOn w:val="TableNormal"/>
    <w:uiPriority w:val="60"/>
    <w:locked/>
    <w:rsid w:val="00F80750"/>
    <w:pPr>
      <w:spacing w:after="0" w:line="240" w:lineRule="auto"/>
    </w:pPr>
    <w:rPr>
      <w:color w:val="5F5F5F" w:themeColor="accent4" w:themeShade="BF"/>
    </w:rPr>
    <w:tblPr>
      <w:tblStyleRowBandSize w:val="1"/>
      <w:tblStyleColBandSize w:val="1"/>
      <w:tblBorders>
        <w:top w:val="single" w:sz="8" w:space="0" w:color="808080" w:themeColor="accent4"/>
        <w:bottom w:val="single" w:sz="8" w:space="0" w:color="808080" w:themeColor="accent4"/>
      </w:tblBorders>
    </w:tblPr>
    <w:tblStylePr w:type="firstRow">
      <w:pPr>
        <w:spacing w:before="0" w:after="0" w:line="240" w:lineRule="auto"/>
      </w:pPr>
      <w:rPr>
        <w:b/>
        <w:bCs/>
      </w:rPr>
      <w:tblPr/>
      <w:tcPr>
        <w:tcBorders>
          <w:top w:val="single" w:sz="8" w:space="0" w:color="808080" w:themeColor="accent4"/>
          <w:left w:val="nil"/>
          <w:bottom w:val="single" w:sz="8" w:space="0" w:color="808080" w:themeColor="accent4"/>
          <w:right w:val="nil"/>
          <w:insideH w:val="nil"/>
          <w:insideV w:val="nil"/>
        </w:tcBorders>
      </w:tcPr>
    </w:tblStylePr>
    <w:tblStylePr w:type="lastRow">
      <w:pPr>
        <w:spacing w:before="0" w:after="0" w:line="240" w:lineRule="auto"/>
      </w:pPr>
      <w:rPr>
        <w:b/>
        <w:bCs/>
      </w:rPr>
      <w:tblPr/>
      <w:tcPr>
        <w:tcBorders>
          <w:top w:val="single" w:sz="8" w:space="0" w:color="808080" w:themeColor="accent4"/>
          <w:left w:val="nil"/>
          <w:bottom w:val="single" w:sz="8" w:space="0" w:color="80808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FDF" w:themeFill="accent4" w:themeFillTint="3F"/>
      </w:tcPr>
    </w:tblStylePr>
    <w:tblStylePr w:type="band1Horz">
      <w:tblPr/>
      <w:tcPr>
        <w:tcBorders>
          <w:left w:val="nil"/>
          <w:right w:val="nil"/>
          <w:insideH w:val="nil"/>
          <w:insideV w:val="nil"/>
        </w:tcBorders>
        <w:shd w:val="clear" w:color="auto" w:fill="DFDFDF" w:themeFill="accent4" w:themeFillTint="3F"/>
      </w:tcPr>
    </w:tblStylePr>
  </w:style>
  <w:style w:type="table" w:styleId="LightShading-Accent5">
    <w:name w:val="Light Shading Accent 5"/>
    <w:basedOn w:val="TableNormal"/>
    <w:uiPriority w:val="60"/>
    <w:locked/>
    <w:rsid w:val="00F80750"/>
    <w:pPr>
      <w:spacing w:after="0" w:line="240" w:lineRule="auto"/>
    </w:pPr>
    <w:rPr>
      <w:color w:val="474747" w:themeColor="accent5" w:themeShade="BF"/>
    </w:rPr>
    <w:tblPr>
      <w:tblStyleRowBandSize w:val="1"/>
      <w:tblStyleColBandSize w:val="1"/>
      <w:tblBorders>
        <w:top w:val="single" w:sz="8" w:space="0" w:color="5F5F5F" w:themeColor="accent5"/>
        <w:bottom w:val="single" w:sz="8" w:space="0" w:color="5F5F5F" w:themeColor="accent5"/>
      </w:tblBorders>
    </w:tblPr>
    <w:tblStylePr w:type="firstRow">
      <w:pPr>
        <w:spacing w:before="0" w:after="0" w:line="240" w:lineRule="auto"/>
      </w:pPr>
      <w:rPr>
        <w:b/>
        <w:bCs/>
      </w:rPr>
      <w:tblPr/>
      <w:tcPr>
        <w:tcBorders>
          <w:top w:val="single" w:sz="8" w:space="0" w:color="5F5F5F" w:themeColor="accent5"/>
          <w:left w:val="nil"/>
          <w:bottom w:val="single" w:sz="8" w:space="0" w:color="5F5F5F" w:themeColor="accent5"/>
          <w:right w:val="nil"/>
          <w:insideH w:val="nil"/>
          <w:insideV w:val="nil"/>
        </w:tcBorders>
      </w:tcPr>
    </w:tblStylePr>
    <w:tblStylePr w:type="lastRow">
      <w:pPr>
        <w:spacing w:before="0" w:after="0" w:line="240" w:lineRule="auto"/>
      </w:pPr>
      <w:rPr>
        <w:b/>
        <w:bCs/>
      </w:rPr>
      <w:tblPr/>
      <w:tcPr>
        <w:tcBorders>
          <w:top w:val="single" w:sz="8" w:space="0" w:color="5F5F5F" w:themeColor="accent5"/>
          <w:left w:val="nil"/>
          <w:bottom w:val="single" w:sz="8" w:space="0" w:color="5F5F5F"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D7D7" w:themeFill="accent5" w:themeFillTint="3F"/>
      </w:tcPr>
    </w:tblStylePr>
    <w:tblStylePr w:type="band1Horz">
      <w:tblPr/>
      <w:tcPr>
        <w:tcBorders>
          <w:left w:val="nil"/>
          <w:right w:val="nil"/>
          <w:insideH w:val="nil"/>
          <w:insideV w:val="nil"/>
        </w:tcBorders>
        <w:shd w:val="clear" w:color="auto" w:fill="D7D7D7" w:themeFill="accent5" w:themeFillTint="3F"/>
      </w:tcPr>
    </w:tblStylePr>
  </w:style>
  <w:style w:type="table" w:styleId="LightShading-Accent6">
    <w:name w:val="Light Shading Accent 6"/>
    <w:basedOn w:val="TableNormal"/>
    <w:uiPriority w:val="60"/>
    <w:locked/>
    <w:rsid w:val="00F80750"/>
    <w:pPr>
      <w:spacing w:after="0" w:line="240" w:lineRule="auto"/>
    </w:pPr>
    <w:rPr>
      <w:color w:val="393939" w:themeColor="accent6" w:themeShade="BF"/>
    </w:rPr>
    <w:tblPr>
      <w:tblStyleRowBandSize w:val="1"/>
      <w:tblStyleColBandSize w:val="1"/>
      <w:tblBorders>
        <w:top w:val="single" w:sz="8" w:space="0" w:color="4D4D4D" w:themeColor="accent6"/>
        <w:bottom w:val="single" w:sz="8" w:space="0" w:color="4D4D4D" w:themeColor="accent6"/>
      </w:tblBorders>
    </w:tblPr>
    <w:tblStylePr w:type="firstRow">
      <w:pPr>
        <w:spacing w:before="0" w:after="0" w:line="240" w:lineRule="auto"/>
      </w:pPr>
      <w:rPr>
        <w:b/>
        <w:bCs/>
      </w:rPr>
      <w:tblPr/>
      <w:tcPr>
        <w:tcBorders>
          <w:top w:val="single" w:sz="8" w:space="0" w:color="4D4D4D" w:themeColor="accent6"/>
          <w:left w:val="nil"/>
          <w:bottom w:val="single" w:sz="8" w:space="0" w:color="4D4D4D" w:themeColor="accent6"/>
          <w:right w:val="nil"/>
          <w:insideH w:val="nil"/>
          <w:insideV w:val="nil"/>
        </w:tcBorders>
      </w:tcPr>
    </w:tblStylePr>
    <w:tblStylePr w:type="lastRow">
      <w:pPr>
        <w:spacing w:before="0" w:after="0" w:line="240" w:lineRule="auto"/>
      </w:pPr>
      <w:rPr>
        <w:b/>
        <w:bCs/>
      </w:rPr>
      <w:tblPr/>
      <w:tcPr>
        <w:tcBorders>
          <w:top w:val="single" w:sz="8" w:space="0" w:color="4D4D4D" w:themeColor="accent6"/>
          <w:left w:val="nil"/>
          <w:bottom w:val="single" w:sz="8" w:space="0" w:color="4D4D4D"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3D3" w:themeFill="accent6" w:themeFillTint="3F"/>
      </w:tcPr>
    </w:tblStylePr>
    <w:tblStylePr w:type="band1Horz">
      <w:tblPr/>
      <w:tcPr>
        <w:tcBorders>
          <w:left w:val="nil"/>
          <w:right w:val="nil"/>
          <w:insideH w:val="nil"/>
          <w:insideV w:val="nil"/>
        </w:tcBorders>
        <w:shd w:val="clear" w:color="auto" w:fill="D3D3D3" w:themeFill="accent6" w:themeFillTint="3F"/>
      </w:tcPr>
    </w:tblStylePr>
  </w:style>
  <w:style w:type="character" w:styleId="LineNumber">
    <w:name w:val="line number"/>
    <w:basedOn w:val="DefaultParagraphFont"/>
    <w:uiPriority w:val="99"/>
    <w:semiHidden/>
    <w:unhideWhenUsed/>
    <w:locked/>
    <w:rsid w:val="00F80750"/>
    <w:rPr>
      <w:noProof w:val="0"/>
      <w:lang w:val="en-AU"/>
    </w:rPr>
  </w:style>
  <w:style w:type="paragraph" w:styleId="List">
    <w:name w:val="List"/>
    <w:basedOn w:val="Normal"/>
    <w:uiPriority w:val="99"/>
    <w:semiHidden/>
    <w:unhideWhenUsed/>
    <w:locked/>
    <w:rsid w:val="00F80750"/>
    <w:pPr>
      <w:ind w:left="283" w:hanging="283"/>
      <w:contextualSpacing/>
    </w:pPr>
  </w:style>
  <w:style w:type="paragraph" w:styleId="List2">
    <w:name w:val="List 2"/>
    <w:basedOn w:val="Normal"/>
    <w:uiPriority w:val="99"/>
    <w:semiHidden/>
    <w:unhideWhenUsed/>
    <w:locked/>
    <w:rsid w:val="00F80750"/>
    <w:pPr>
      <w:ind w:left="566" w:hanging="283"/>
      <w:contextualSpacing/>
    </w:pPr>
  </w:style>
  <w:style w:type="paragraph" w:styleId="List3">
    <w:name w:val="List 3"/>
    <w:basedOn w:val="Normal"/>
    <w:uiPriority w:val="99"/>
    <w:semiHidden/>
    <w:unhideWhenUsed/>
    <w:locked/>
    <w:rsid w:val="00F80750"/>
    <w:pPr>
      <w:ind w:left="849" w:hanging="283"/>
      <w:contextualSpacing/>
    </w:pPr>
  </w:style>
  <w:style w:type="paragraph" w:styleId="List4">
    <w:name w:val="List 4"/>
    <w:basedOn w:val="Normal"/>
    <w:uiPriority w:val="99"/>
    <w:semiHidden/>
    <w:unhideWhenUsed/>
    <w:locked/>
    <w:rsid w:val="00F80750"/>
    <w:pPr>
      <w:ind w:left="1132" w:hanging="283"/>
      <w:contextualSpacing/>
    </w:pPr>
  </w:style>
  <w:style w:type="paragraph" w:styleId="List5">
    <w:name w:val="List 5"/>
    <w:basedOn w:val="Normal"/>
    <w:uiPriority w:val="99"/>
    <w:semiHidden/>
    <w:unhideWhenUsed/>
    <w:locked/>
    <w:rsid w:val="00F80750"/>
    <w:pPr>
      <w:ind w:left="1415" w:hanging="283"/>
      <w:contextualSpacing/>
    </w:pPr>
  </w:style>
  <w:style w:type="paragraph" w:styleId="ListBullet5">
    <w:name w:val="List Bullet 5"/>
    <w:basedOn w:val="Normal"/>
    <w:uiPriority w:val="99"/>
    <w:semiHidden/>
    <w:locked/>
    <w:rsid w:val="00F80750"/>
    <w:pPr>
      <w:numPr>
        <w:numId w:val="21"/>
      </w:numPr>
      <w:contextualSpacing/>
    </w:pPr>
  </w:style>
  <w:style w:type="paragraph" w:styleId="ListContinue">
    <w:name w:val="List Continue"/>
    <w:basedOn w:val="Normal"/>
    <w:uiPriority w:val="99"/>
    <w:semiHidden/>
    <w:unhideWhenUsed/>
    <w:locked/>
    <w:rsid w:val="00F80750"/>
    <w:pPr>
      <w:spacing w:after="120"/>
      <w:ind w:left="283"/>
      <w:contextualSpacing/>
    </w:pPr>
  </w:style>
  <w:style w:type="paragraph" w:styleId="ListContinue2">
    <w:name w:val="List Continue 2"/>
    <w:basedOn w:val="Normal"/>
    <w:uiPriority w:val="99"/>
    <w:semiHidden/>
    <w:unhideWhenUsed/>
    <w:locked/>
    <w:rsid w:val="00F80750"/>
    <w:pPr>
      <w:spacing w:after="120"/>
      <w:ind w:left="566"/>
      <w:contextualSpacing/>
    </w:pPr>
  </w:style>
  <w:style w:type="paragraph" w:styleId="ListContinue3">
    <w:name w:val="List Continue 3"/>
    <w:basedOn w:val="Normal"/>
    <w:uiPriority w:val="99"/>
    <w:semiHidden/>
    <w:unhideWhenUsed/>
    <w:locked/>
    <w:rsid w:val="00F80750"/>
    <w:pPr>
      <w:spacing w:after="120"/>
      <w:ind w:left="849"/>
      <w:contextualSpacing/>
    </w:pPr>
  </w:style>
  <w:style w:type="paragraph" w:styleId="ListContinue4">
    <w:name w:val="List Continue 4"/>
    <w:basedOn w:val="Normal"/>
    <w:uiPriority w:val="99"/>
    <w:semiHidden/>
    <w:unhideWhenUsed/>
    <w:locked/>
    <w:rsid w:val="00F80750"/>
    <w:pPr>
      <w:spacing w:after="120"/>
      <w:ind w:left="1132"/>
      <w:contextualSpacing/>
    </w:pPr>
  </w:style>
  <w:style w:type="paragraph" w:styleId="ListContinue5">
    <w:name w:val="List Continue 5"/>
    <w:basedOn w:val="Normal"/>
    <w:uiPriority w:val="99"/>
    <w:semiHidden/>
    <w:unhideWhenUsed/>
    <w:locked/>
    <w:rsid w:val="00F80750"/>
    <w:pPr>
      <w:spacing w:after="120"/>
      <w:ind w:left="1415"/>
      <w:contextualSpacing/>
    </w:pPr>
  </w:style>
  <w:style w:type="paragraph" w:styleId="ListNumber5">
    <w:name w:val="List Number 5"/>
    <w:basedOn w:val="Normal"/>
    <w:uiPriority w:val="99"/>
    <w:semiHidden/>
    <w:locked/>
    <w:rsid w:val="00F80750"/>
    <w:pPr>
      <w:numPr>
        <w:numId w:val="22"/>
      </w:numPr>
      <w:contextualSpacing/>
    </w:pPr>
  </w:style>
  <w:style w:type="paragraph" w:styleId="ListParagraph">
    <w:name w:val="List Paragraph"/>
    <w:basedOn w:val="Normal"/>
    <w:uiPriority w:val="34"/>
    <w:qFormat/>
    <w:rsid w:val="00F80750"/>
    <w:pPr>
      <w:ind w:left="720"/>
      <w:contextualSpacing/>
    </w:pPr>
  </w:style>
  <w:style w:type="paragraph" w:styleId="MacroText">
    <w:name w:val="macro"/>
    <w:link w:val="MacroTextChar"/>
    <w:uiPriority w:val="99"/>
    <w:semiHidden/>
    <w:unhideWhenUsed/>
    <w:locked/>
    <w:rsid w:val="00F80750"/>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rPr>
  </w:style>
  <w:style w:type="character" w:customStyle="1" w:styleId="MacroTextChar">
    <w:name w:val="Macro Text Char"/>
    <w:basedOn w:val="DefaultParagraphFont"/>
    <w:link w:val="MacroText"/>
    <w:uiPriority w:val="99"/>
    <w:semiHidden/>
    <w:rsid w:val="00F80750"/>
    <w:rPr>
      <w:rFonts w:ascii="Consolas" w:hAnsi="Consolas"/>
      <w:noProof w:val="0"/>
      <w:sz w:val="20"/>
      <w:szCs w:val="20"/>
      <w:lang w:val="en-AU"/>
    </w:rPr>
  </w:style>
  <w:style w:type="table" w:styleId="MediumGrid1">
    <w:name w:val="Medium Grid 1"/>
    <w:basedOn w:val="TableNormal"/>
    <w:uiPriority w:val="67"/>
    <w:locked/>
    <w:rsid w:val="00F80750"/>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locked/>
    <w:rsid w:val="00F80750"/>
    <w:pPr>
      <w:spacing w:after="0" w:line="240" w:lineRule="auto"/>
    </w:pPr>
    <w:tblPr>
      <w:tblStyleRowBandSize w:val="1"/>
      <w:tblStyleColBandSize w:val="1"/>
      <w:tblBorders>
        <w:top w:val="single" w:sz="8" w:space="0" w:color="E5E5E5" w:themeColor="accent1" w:themeTint="BF"/>
        <w:left w:val="single" w:sz="8" w:space="0" w:color="E5E5E5" w:themeColor="accent1" w:themeTint="BF"/>
        <w:bottom w:val="single" w:sz="8" w:space="0" w:color="E5E5E5" w:themeColor="accent1" w:themeTint="BF"/>
        <w:right w:val="single" w:sz="8" w:space="0" w:color="E5E5E5" w:themeColor="accent1" w:themeTint="BF"/>
        <w:insideH w:val="single" w:sz="8" w:space="0" w:color="E5E5E5" w:themeColor="accent1" w:themeTint="BF"/>
        <w:insideV w:val="single" w:sz="8" w:space="0" w:color="E5E5E5" w:themeColor="accent1" w:themeTint="BF"/>
      </w:tblBorders>
    </w:tblPr>
    <w:tcPr>
      <w:shd w:val="clear" w:color="auto" w:fill="F6F6F6" w:themeFill="accent1" w:themeFillTint="3F"/>
    </w:tcPr>
    <w:tblStylePr w:type="firstRow">
      <w:rPr>
        <w:b/>
        <w:bCs/>
      </w:rPr>
    </w:tblStylePr>
    <w:tblStylePr w:type="lastRow">
      <w:rPr>
        <w:b/>
        <w:bCs/>
      </w:rPr>
      <w:tblPr/>
      <w:tcPr>
        <w:tcBorders>
          <w:top w:val="single" w:sz="18" w:space="0" w:color="E5E5E5" w:themeColor="accent1" w:themeTint="BF"/>
        </w:tcBorders>
      </w:tcPr>
    </w:tblStylePr>
    <w:tblStylePr w:type="firstCol">
      <w:rPr>
        <w:b/>
        <w:bCs/>
      </w:rPr>
    </w:tblStylePr>
    <w:tblStylePr w:type="lastCol">
      <w:rPr>
        <w:b/>
        <w:bCs/>
      </w:rPr>
    </w:tblStylePr>
    <w:tblStylePr w:type="band1Vert">
      <w:tblPr/>
      <w:tcPr>
        <w:shd w:val="clear" w:color="auto" w:fill="EEEEEE" w:themeFill="accent1" w:themeFillTint="7F"/>
      </w:tcPr>
    </w:tblStylePr>
    <w:tblStylePr w:type="band1Horz">
      <w:tblPr/>
      <w:tcPr>
        <w:shd w:val="clear" w:color="auto" w:fill="EEEEEE" w:themeFill="accent1" w:themeFillTint="7F"/>
      </w:tcPr>
    </w:tblStylePr>
  </w:style>
  <w:style w:type="table" w:styleId="MediumGrid1-Accent2">
    <w:name w:val="Medium Grid 1 Accent 2"/>
    <w:basedOn w:val="TableNormal"/>
    <w:uiPriority w:val="67"/>
    <w:locked/>
    <w:rsid w:val="00F80750"/>
    <w:pPr>
      <w:spacing w:after="0" w:line="240" w:lineRule="auto"/>
    </w:pPr>
    <w:tblPr>
      <w:tblStyleRowBandSize w:val="1"/>
      <w:tblStyleColBandSize w:val="1"/>
      <w:tblBorders>
        <w:top w:val="single" w:sz="8" w:space="0" w:color="C5C5C5" w:themeColor="accent2" w:themeTint="BF"/>
        <w:left w:val="single" w:sz="8" w:space="0" w:color="C5C5C5" w:themeColor="accent2" w:themeTint="BF"/>
        <w:bottom w:val="single" w:sz="8" w:space="0" w:color="C5C5C5" w:themeColor="accent2" w:themeTint="BF"/>
        <w:right w:val="single" w:sz="8" w:space="0" w:color="C5C5C5" w:themeColor="accent2" w:themeTint="BF"/>
        <w:insideH w:val="single" w:sz="8" w:space="0" w:color="C5C5C5" w:themeColor="accent2" w:themeTint="BF"/>
        <w:insideV w:val="single" w:sz="8" w:space="0" w:color="C5C5C5" w:themeColor="accent2" w:themeTint="BF"/>
      </w:tblBorders>
    </w:tblPr>
    <w:tcPr>
      <w:shd w:val="clear" w:color="auto" w:fill="EBEBEB" w:themeFill="accent2" w:themeFillTint="3F"/>
    </w:tcPr>
    <w:tblStylePr w:type="firstRow">
      <w:rPr>
        <w:b/>
        <w:bCs/>
      </w:rPr>
    </w:tblStylePr>
    <w:tblStylePr w:type="lastRow">
      <w:rPr>
        <w:b/>
        <w:bCs/>
      </w:rPr>
      <w:tblPr/>
      <w:tcPr>
        <w:tcBorders>
          <w:top w:val="single" w:sz="18" w:space="0" w:color="C5C5C5" w:themeColor="accent2" w:themeTint="BF"/>
        </w:tcBorders>
      </w:tcPr>
    </w:tblStylePr>
    <w:tblStylePr w:type="firstCol">
      <w:rPr>
        <w:b/>
        <w:bCs/>
      </w:rPr>
    </w:tblStylePr>
    <w:tblStylePr w:type="lastCol">
      <w:rPr>
        <w:b/>
        <w:bCs/>
      </w:rPr>
    </w:tblStylePr>
    <w:tblStylePr w:type="band1Vert">
      <w:tblPr/>
      <w:tcPr>
        <w:shd w:val="clear" w:color="auto" w:fill="D8D8D8" w:themeFill="accent2" w:themeFillTint="7F"/>
      </w:tcPr>
    </w:tblStylePr>
    <w:tblStylePr w:type="band1Horz">
      <w:tblPr/>
      <w:tcPr>
        <w:shd w:val="clear" w:color="auto" w:fill="D8D8D8" w:themeFill="accent2" w:themeFillTint="7F"/>
      </w:tcPr>
    </w:tblStylePr>
  </w:style>
  <w:style w:type="table" w:styleId="MediumGrid1-Accent3">
    <w:name w:val="Medium Grid 1 Accent 3"/>
    <w:basedOn w:val="TableNormal"/>
    <w:uiPriority w:val="67"/>
    <w:locked/>
    <w:rsid w:val="00F80750"/>
    <w:pPr>
      <w:spacing w:after="0" w:line="240" w:lineRule="auto"/>
    </w:pPr>
    <w:tblPr>
      <w:tblStyleRowBandSize w:val="1"/>
      <w:tblStyleColBandSize w:val="1"/>
      <w:tblBorders>
        <w:top w:val="single" w:sz="8" w:space="0" w:color="B0B0B0" w:themeColor="accent3" w:themeTint="BF"/>
        <w:left w:val="single" w:sz="8" w:space="0" w:color="B0B0B0" w:themeColor="accent3" w:themeTint="BF"/>
        <w:bottom w:val="single" w:sz="8" w:space="0" w:color="B0B0B0" w:themeColor="accent3" w:themeTint="BF"/>
        <w:right w:val="single" w:sz="8" w:space="0" w:color="B0B0B0" w:themeColor="accent3" w:themeTint="BF"/>
        <w:insideH w:val="single" w:sz="8" w:space="0" w:color="B0B0B0" w:themeColor="accent3" w:themeTint="BF"/>
        <w:insideV w:val="single" w:sz="8" w:space="0" w:color="B0B0B0" w:themeColor="accent3" w:themeTint="BF"/>
      </w:tblBorders>
    </w:tblPr>
    <w:tcPr>
      <w:shd w:val="clear" w:color="auto" w:fill="E5E5E5" w:themeFill="accent3" w:themeFillTint="3F"/>
    </w:tcPr>
    <w:tblStylePr w:type="firstRow">
      <w:rPr>
        <w:b/>
        <w:bCs/>
      </w:rPr>
    </w:tblStylePr>
    <w:tblStylePr w:type="lastRow">
      <w:rPr>
        <w:b/>
        <w:bCs/>
      </w:rPr>
      <w:tblPr/>
      <w:tcPr>
        <w:tcBorders>
          <w:top w:val="single" w:sz="18" w:space="0" w:color="B0B0B0" w:themeColor="accent3" w:themeTint="BF"/>
        </w:tcBorders>
      </w:tcPr>
    </w:tblStylePr>
    <w:tblStylePr w:type="firstCol">
      <w:rPr>
        <w:b/>
        <w:bCs/>
      </w:rPr>
    </w:tblStylePr>
    <w:tblStylePr w:type="lastCol">
      <w:rPr>
        <w:b/>
        <w:bCs/>
      </w:rPr>
    </w:tblStylePr>
    <w:tblStylePr w:type="band1Vert">
      <w:tblPr/>
      <w:tcPr>
        <w:shd w:val="clear" w:color="auto" w:fill="CACACA" w:themeFill="accent3" w:themeFillTint="7F"/>
      </w:tcPr>
    </w:tblStylePr>
    <w:tblStylePr w:type="band1Horz">
      <w:tblPr/>
      <w:tcPr>
        <w:shd w:val="clear" w:color="auto" w:fill="CACACA" w:themeFill="accent3" w:themeFillTint="7F"/>
      </w:tcPr>
    </w:tblStylePr>
  </w:style>
  <w:style w:type="table" w:styleId="MediumGrid1-Accent4">
    <w:name w:val="Medium Grid 1 Accent 4"/>
    <w:basedOn w:val="TableNormal"/>
    <w:uiPriority w:val="67"/>
    <w:locked/>
    <w:rsid w:val="00F80750"/>
    <w:pPr>
      <w:spacing w:after="0" w:line="240" w:lineRule="auto"/>
    </w:pPr>
    <w:tblPr>
      <w:tblStyleRowBandSize w:val="1"/>
      <w:tblStyleColBandSize w:val="1"/>
      <w:tblBorders>
        <w:top w:val="single" w:sz="8" w:space="0" w:color="9F9F9F" w:themeColor="accent4" w:themeTint="BF"/>
        <w:left w:val="single" w:sz="8" w:space="0" w:color="9F9F9F" w:themeColor="accent4" w:themeTint="BF"/>
        <w:bottom w:val="single" w:sz="8" w:space="0" w:color="9F9F9F" w:themeColor="accent4" w:themeTint="BF"/>
        <w:right w:val="single" w:sz="8" w:space="0" w:color="9F9F9F" w:themeColor="accent4" w:themeTint="BF"/>
        <w:insideH w:val="single" w:sz="8" w:space="0" w:color="9F9F9F" w:themeColor="accent4" w:themeTint="BF"/>
        <w:insideV w:val="single" w:sz="8" w:space="0" w:color="9F9F9F" w:themeColor="accent4" w:themeTint="BF"/>
      </w:tblBorders>
    </w:tblPr>
    <w:tcPr>
      <w:shd w:val="clear" w:color="auto" w:fill="DFDFDF" w:themeFill="accent4" w:themeFillTint="3F"/>
    </w:tcPr>
    <w:tblStylePr w:type="firstRow">
      <w:rPr>
        <w:b/>
        <w:bCs/>
      </w:rPr>
    </w:tblStylePr>
    <w:tblStylePr w:type="lastRow">
      <w:rPr>
        <w:b/>
        <w:bCs/>
      </w:rPr>
      <w:tblPr/>
      <w:tcPr>
        <w:tcBorders>
          <w:top w:val="single" w:sz="18" w:space="0" w:color="9F9F9F" w:themeColor="accent4" w:themeTint="BF"/>
        </w:tcBorders>
      </w:tcPr>
    </w:tblStylePr>
    <w:tblStylePr w:type="firstCol">
      <w:rPr>
        <w:b/>
        <w:bCs/>
      </w:rPr>
    </w:tblStylePr>
    <w:tblStylePr w:type="lastCol">
      <w:rPr>
        <w:b/>
        <w:bCs/>
      </w:rPr>
    </w:tblStylePr>
    <w:tblStylePr w:type="band1Vert">
      <w:tblPr/>
      <w:tcPr>
        <w:shd w:val="clear" w:color="auto" w:fill="BFBFBF" w:themeFill="accent4" w:themeFillTint="7F"/>
      </w:tcPr>
    </w:tblStylePr>
    <w:tblStylePr w:type="band1Horz">
      <w:tblPr/>
      <w:tcPr>
        <w:shd w:val="clear" w:color="auto" w:fill="BFBFBF" w:themeFill="accent4" w:themeFillTint="7F"/>
      </w:tcPr>
    </w:tblStylePr>
  </w:style>
  <w:style w:type="table" w:styleId="MediumGrid1-Accent5">
    <w:name w:val="Medium Grid 1 Accent 5"/>
    <w:basedOn w:val="TableNormal"/>
    <w:uiPriority w:val="67"/>
    <w:locked/>
    <w:rsid w:val="00F80750"/>
    <w:pPr>
      <w:spacing w:after="0" w:line="240" w:lineRule="auto"/>
    </w:pPr>
    <w:tblPr>
      <w:tblStyleRowBandSize w:val="1"/>
      <w:tblStyleColBandSize w:val="1"/>
      <w:tbl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single" w:sz="8" w:space="0" w:color="878787" w:themeColor="accent5" w:themeTint="BF"/>
        <w:insideV w:val="single" w:sz="8" w:space="0" w:color="878787" w:themeColor="accent5" w:themeTint="BF"/>
      </w:tblBorders>
    </w:tblPr>
    <w:tcPr>
      <w:shd w:val="clear" w:color="auto" w:fill="D7D7D7" w:themeFill="accent5" w:themeFillTint="3F"/>
    </w:tcPr>
    <w:tblStylePr w:type="firstRow">
      <w:rPr>
        <w:b/>
        <w:bCs/>
      </w:rPr>
    </w:tblStylePr>
    <w:tblStylePr w:type="lastRow">
      <w:rPr>
        <w:b/>
        <w:bCs/>
      </w:rPr>
      <w:tblPr/>
      <w:tcPr>
        <w:tcBorders>
          <w:top w:val="single" w:sz="18" w:space="0" w:color="878787" w:themeColor="accent5" w:themeTint="BF"/>
        </w:tcBorders>
      </w:tcPr>
    </w:tblStylePr>
    <w:tblStylePr w:type="firstCol">
      <w:rPr>
        <w:b/>
        <w:bCs/>
      </w:rPr>
    </w:tblStylePr>
    <w:tblStylePr w:type="lastCol">
      <w:rPr>
        <w:b/>
        <w:bCs/>
      </w:rPr>
    </w:tblStylePr>
    <w:tblStylePr w:type="band1Vert">
      <w:tblPr/>
      <w:tcPr>
        <w:shd w:val="clear" w:color="auto" w:fill="AFAFAF" w:themeFill="accent5" w:themeFillTint="7F"/>
      </w:tcPr>
    </w:tblStylePr>
    <w:tblStylePr w:type="band1Horz">
      <w:tblPr/>
      <w:tcPr>
        <w:shd w:val="clear" w:color="auto" w:fill="AFAFAF" w:themeFill="accent5" w:themeFillTint="7F"/>
      </w:tcPr>
    </w:tblStylePr>
  </w:style>
  <w:style w:type="table" w:styleId="MediumGrid1-Accent6">
    <w:name w:val="Medium Grid 1 Accent 6"/>
    <w:basedOn w:val="TableNormal"/>
    <w:uiPriority w:val="67"/>
    <w:locked/>
    <w:rsid w:val="00F80750"/>
    <w:pPr>
      <w:spacing w:after="0" w:line="240" w:lineRule="auto"/>
    </w:pPr>
    <w:tblPr>
      <w:tblStyleRowBandSize w:val="1"/>
      <w:tblStyleColBandSize w:val="1"/>
      <w:tbl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single" w:sz="8" w:space="0" w:color="797979" w:themeColor="accent6" w:themeTint="BF"/>
        <w:insideV w:val="single" w:sz="8" w:space="0" w:color="797979" w:themeColor="accent6" w:themeTint="BF"/>
      </w:tblBorders>
    </w:tblPr>
    <w:tcPr>
      <w:shd w:val="clear" w:color="auto" w:fill="D3D3D3" w:themeFill="accent6" w:themeFillTint="3F"/>
    </w:tcPr>
    <w:tblStylePr w:type="firstRow">
      <w:rPr>
        <w:b/>
        <w:bCs/>
      </w:rPr>
    </w:tblStylePr>
    <w:tblStylePr w:type="lastRow">
      <w:rPr>
        <w:b/>
        <w:bCs/>
      </w:rPr>
      <w:tblPr/>
      <w:tcPr>
        <w:tcBorders>
          <w:top w:val="single" w:sz="18" w:space="0" w:color="797979" w:themeColor="accent6" w:themeTint="BF"/>
        </w:tcBorders>
      </w:tcPr>
    </w:tblStylePr>
    <w:tblStylePr w:type="firstCol">
      <w:rPr>
        <w:b/>
        <w:bCs/>
      </w:rPr>
    </w:tblStylePr>
    <w:tblStylePr w:type="lastCol">
      <w:rPr>
        <w:b/>
        <w:bCs/>
      </w:rPr>
    </w:tblStylePr>
    <w:tblStylePr w:type="band1Vert">
      <w:tblPr/>
      <w:tcPr>
        <w:shd w:val="clear" w:color="auto" w:fill="A6A6A6" w:themeFill="accent6" w:themeFillTint="7F"/>
      </w:tcPr>
    </w:tblStylePr>
    <w:tblStylePr w:type="band1Horz">
      <w:tblPr/>
      <w:tcPr>
        <w:shd w:val="clear" w:color="auto" w:fill="A6A6A6" w:themeFill="accent6" w:themeFillTint="7F"/>
      </w:tcPr>
    </w:tblStylePr>
  </w:style>
  <w:style w:type="table" w:styleId="MediumGrid2">
    <w:name w:val="Medium Grid 2"/>
    <w:basedOn w:val="TableNormal"/>
    <w:uiPriority w:val="68"/>
    <w:locked/>
    <w:rsid w:val="00F8075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locked/>
    <w:rsid w:val="00F8075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DDDDDD" w:themeColor="accent1"/>
        <w:left w:val="single" w:sz="8" w:space="0" w:color="DDDDDD" w:themeColor="accent1"/>
        <w:bottom w:val="single" w:sz="8" w:space="0" w:color="DDDDDD" w:themeColor="accent1"/>
        <w:right w:val="single" w:sz="8" w:space="0" w:color="DDDDDD" w:themeColor="accent1"/>
        <w:insideH w:val="single" w:sz="8" w:space="0" w:color="DDDDDD" w:themeColor="accent1"/>
        <w:insideV w:val="single" w:sz="8" w:space="0" w:color="DDDDDD" w:themeColor="accent1"/>
      </w:tblBorders>
    </w:tblPr>
    <w:tcPr>
      <w:shd w:val="clear" w:color="auto" w:fill="F6F6F6" w:themeFill="accent1" w:themeFillTint="3F"/>
    </w:tcPr>
    <w:tblStylePr w:type="firstRow">
      <w:rPr>
        <w:b/>
        <w:bCs/>
        <w:color w:val="000000" w:themeColor="text1"/>
      </w:rPr>
      <w:tblPr/>
      <w:tcPr>
        <w:shd w:val="clear" w:color="auto" w:fill="FBFB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8F8F8" w:themeFill="accent1" w:themeFillTint="33"/>
      </w:tcPr>
    </w:tblStylePr>
    <w:tblStylePr w:type="band1Vert">
      <w:tblPr/>
      <w:tcPr>
        <w:shd w:val="clear" w:color="auto" w:fill="EEEEEE" w:themeFill="accent1" w:themeFillTint="7F"/>
      </w:tcPr>
    </w:tblStylePr>
    <w:tblStylePr w:type="band1Horz">
      <w:tblPr/>
      <w:tcPr>
        <w:tcBorders>
          <w:insideH w:val="single" w:sz="6" w:space="0" w:color="DDDDDD" w:themeColor="accent1"/>
          <w:insideV w:val="single" w:sz="6" w:space="0" w:color="DDDDDD" w:themeColor="accent1"/>
        </w:tcBorders>
        <w:shd w:val="clear" w:color="auto" w:fill="EEEEE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locked/>
    <w:rsid w:val="00F8075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2B2B2" w:themeColor="accent2"/>
        <w:left w:val="single" w:sz="8" w:space="0" w:color="B2B2B2" w:themeColor="accent2"/>
        <w:bottom w:val="single" w:sz="8" w:space="0" w:color="B2B2B2" w:themeColor="accent2"/>
        <w:right w:val="single" w:sz="8" w:space="0" w:color="B2B2B2" w:themeColor="accent2"/>
        <w:insideH w:val="single" w:sz="8" w:space="0" w:color="B2B2B2" w:themeColor="accent2"/>
        <w:insideV w:val="single" w:sz="8" w:space="0" w:color="B2B2B2" w:themeColor="accent2"/>
      </w:tblBorders>
    </w:tblPr>
    <w:tcPr>
      <w:shd w:val="clear" w:color="auto" w:fill="EBEBEB" w:themeFill="accent2" w:themeFillTint="3F"/>
    </w:tcPr>
    <w:tblStylePr w:type="firstRow">
      <w:rPr>
        <w:b/>
        <w:bCs/>
        <w:color w:val="000000" w:themeColor="text1"/>
      </w:rPr>
      <w:tblPr/>
      <w:tcPr>
        <w:shd w:val="clear" w:color="auto" w:fill="F7F7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EFEF" w:themeFill="accent2" w:themeFillTint="33"/>
      </w:tcPr>
    </w:tblStylePr>
    <w:tblStylePr w:type="band1Vert">
      <w:tblPr/>
      <w:tcPr>
        <w:shd w:val="clear" w:color="auto" w:fill="D8D8D8" w:themeFill="accent2" w:themeFillTint="7F"/>
      </w:tcPr>
    </w:tblStylePr>
    <w:tblStylePr w:type="band1Horz">
      <w:tblPr/>
      <w:tcPr>
        <w:tcBorders>
          <w:insideH w:val="single" w:sz="6" w:space="0" w:color="B2B2B2" w:themeColor="accent2"/>
          <w:insideV w:val="single" w:sz="6" w:space="0" w:color="B2B2B2" w:themeColor="accent2"/>
        </w:tcBorders>
        <w:shd w:val="clear" w:color="auto" w:fill="D8D8D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locked/>
    <w:rsid w:val="00F8075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69696" w:themeColor="accent3"/>
        <w:left w:val="single" w:sz="8" w:space="0" w:color="969696" w:themeColor="accent3"/>
        <w:bottom w:val="single" w:sz="8" w:space="0" w:color="969696" w:themeColor="accent3"/>
        <w:right w:val="single" w:sz="8" w:space="0" w:color="969696" w:themeColor="accent3"/>
        <w:insideH w:val="single" w:sz="8" w:space="0" w:color="969696" w:themeColor="accent3"/>
        <w:insideV w:val="single" w:sz="8" w:space="0" w:color="969696" w:themeColor="accent3"/>
      </w:tblBorders>
    </w:tblPr>
    <w:tcPr>
      <w:shd w:val="clear" w:color="auto" w:fill="E5E5E5" w:themeFill="accent3" w:themeFillTint="3F"/>
    </w:tcPr>
    <w:tblStylePr w:type="firstRow">
      <w:rPr>
        <w:b/>
        <w:bCs/>
        <w:color w:val="000000" w:themeColor="text1"/>
      </w:rPr>
      <w:tblPr/>
      <w:tcPr>
        <w:shd w:val="clear" w:color="auto" w:fill="F4F4F4"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EAEA" w:themeFill="accent3" w:themeFillTint="33"/>
      </w:tcPr>
    </w:tblStylePr>
    <w:tblStylePr w:type="band1Vert">
      <w:tblPr/>
      <w:tcPr>
        <w:shd w:val="clear" w:color="auto" w:fill="CACACA" w:themeFill="accent3" w:themeFillTint="7F"/>
      </w:tcPr>
    </w:tblStylePr>
    <w:tblStylePr w:type="band1Horz">
      <w:tblPr/>
      <w:tcPr>
        <w:tcBorders>
          <w:insideH w:val="single" w:sz="6" w:space="0" w:color="969696" w:themeColor="accent3"/>
          <w:insideV w:val="single" w:sz="6" w:space="0" w:color="969696" w:themeColor="accent3"/>
        </w:tcBorders>
        <w:shd w:val="clear" w:color="auto" w:fill="CACAC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locked/>
    <w:rsid w:val="00F8075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8080" w:themeColor="accent4"/>
        <w:left w:val="single" w:sz="8" w:space="0" w:color="808080" w:themeColor="accent4"/>
        <w:bottom w:val="single" w:sz="8" w:space="0" w:color="808080" w:themeColor="accent4"/>
        <w:right w:val="single" w:sz="8" w:space="0" w:color="808080" w:themeColor="accent4"/>
        <w:insideH w:val="single" w:sz="8" w:space="0" w:color="808080" w:themeColor="accent4"/>
        <w:insideV w:val="single" w:sz="8" w:space="0" w:color="808080" w:themeColor="accent4"/>
      </w:tblBorders>
    </w:tblPr>
    <w:tcPr>
      <w:shd w:val="clear" w:color="auto" w:fill="DFDFDF" w:themeFill="accent4" w:themeFillTint="3F"/>
    </w:tcPr>
    <w:tblStylePr w:type="firstRow">
      <w:rPr>
        <w:b/>
        <w:bCs/>
        <w:color w:val="000000" w:themeColor="text1"/>
      </w:rPr>
      <w:tblPr/>
      <w:tcPr>
        <w:shd w:val="clear" w:color="auto" w:fill="F2F2F2"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E5E5" w:themeFill="accent4" w:themeFillTint="33"/>
      </w:tcPr>
    </w:tblStylePr>
    <w:tblStylePr w:type="band1Vert">
      <w:tblPr/>
      <w:tcPr>
        <w:shd w:val="clear" w:color="auto" w:fill="BFBFBF" w:themeFill="accent4" w:themeFillTint="7F"/>
      </w:tcPr>
    </w:tblStylePr>
    <w:tblStylePr w:type="band1Horz">
      <w:tblPr/>
      <w:tcPr>
        <w:tcBorders>
          <w:insideH w:val="single" w:sz="6" w:space="0" w:color="808080" w:themeColor="accent4"/>
          <w:insideV w:val="single" w:sz="6" w:space="0" w:color="808080" w:themeColor="accent4"/>
        </w:tcBorders>
        <w:shd w:val="clear" w:color="auto" w:fill="BFBFB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locked/>
    <w:rsid w:val="00F8075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insideH w:val="single" w:sz="8" w:space="0" w:color="5F5F5F" w:themeColor="accent5"/>
        <w:insideV w:val="single" w:sz="8" w:space="0" w:color="5F5F5F" w:themeColor="accent5"/>
      </w:tblBorders>
    </w:tblPr>
    <w:tcPr>
      <w:shd w:val="clear" w:color="auto" w:fill="D7D7D7" w:themeFill="accent5" w:themeFillTint="3F"/>
    </w:tcPr>
    <w:tblStylePr w:type="firstRow">
      <w:rPr>
        <w:b/>
        <w:bCs/>
        <w:color w:val="000000" w:themeColor="text1"/>
      </w:rPr>
      <w:tblPr/>
      <w:tcPr>
        <w:shd w:val="clear" w:color="auto" w:fill="EFEFEF"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FDFDF" w:themeFill="accent5" w:themeFillTint="33"/>
      </w:tcPr>
    </w:tblStylePr>
    <w:tblStylePr w:type="band1Vert">
      <w:tblPr/>
      <w:tcPr>
        <w:shd w:val="clear" w:color="auto" w:fill="AFAFAF" w:themeFill="accent5" w:themeFillTint="7F"/>
      </w:tcPr>
    </w:tblStylePr>
    <w:tblStylePr w:type="band1Horz">
      <w:tblPr/>
      <w:tcPr>
        <w:tcBorders>
          <w:insideH w:val="single" w:sz="6" w:space="0" w:color="5F5F5F" w:themeColor="accent5"/>
          <w:insideV w:val="single" w:sz="6" w:space="0" w:color="5F5F5F" w:themeColor="accent5"/>
        </w:tcBorders>
        <w:shd w:val="clear" w:color="auto" w:fill="AFAFAF"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locked/>
    <w:rsid w:val="00F8075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insideH w:val="single" w:sz="8" w:space="0" w:color="4D4D4D" w:themeColor="accent6"/>
        <w:insideV w:val="single" w:sz="8" w:space="0" w:color="4D4D4D" w:themeColor="accent6"/>
      </w:tblBorders>
    </w:tblPr>
    <w:tcPr>
      <w:shd w:val="clear" w:color="auto" w:fill="D3D3D3" w:themeFill="accent6" w:themeFillTint="3F"/>
    </w:tcPr>
    <w:tblStylePr w:type="firstRow">
      <w:rPr>
        <w:b/>
        <w:bCs/>
        <w:color w:val="000000" w:themeColor="text1"/>
      </w:rPr>
      <w:tblPr/>
      <w:tcPr>
        <w:shd w:val="clear" w:color="auto" w:fill="EDEDED"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DBDB" w:themeFill="accent6" w:themeFillTint="33"/>
      </w:tcPr>
    </w:tblStylePr>
    <w:tblStylePr w:type="band1Vert">
      <w:tblPr/>
      <w:tcPr>
        <w:shd w:val="clear" w:color="auto" w:fill="A6A6A6" w:themeFill="accent6" w:themeFillTint="7F"/>
      </w:tcPr>
    </w:tblStylePr>
    <w:tblStylePr w:type="band1Horz">
      <w:tblPr/>
      <w:tcPr>
        <w:tcBorders>
          <w:insideH w:val="single" w:sz="6" w:space="0" w:color="4D4D4D" w:themeColor="accent6"/>
          <w:insideV w:val="single" w:sz="6" w:space="0" w:color="4D4D4D" w:themeColor="accent6"/>
        </w:tcBorders>
        <w:shd w:val="clear" w:color="auto" w:fill="A6A6A6"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locked/>
    <w:rsid w:val="00F8075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locked/>
    <w:rsid w:val="00F8075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6F6F6"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DDDDD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DDDDD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DDDDD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DDDDD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EEEE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EEEEE" w:themeFill="accent1" w:themeFillTint="7F"/>
      </w:tcPr>
    </w:tblStylePr>
  </w:style>
  <w:style w:type="table" w:styleId="MediumGrid3-Accent2">
    <w:name w:val="Medium Grid 3 Accent 2"/>
    <w:basedOn w:val="TableNormal"/>
    <w:uiPriority w:val="69"/>
    <w:locked/>
    <w:rsid w:val="00F8075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EB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2B2B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2B2B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2B2B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2B2B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D8D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D8D8" w:themeFill="accent2" w:themeFillTint="7F"/>
      </w:tcPr>
    </w:tblStylePr>
  </w:style>
  <w:style w:type="table" w:styleId="MediumGrid3-Accent3">
    <w:name w:val="Medium Grid 3 Accent 3"/>
    <w:basedOn w:val="TableNormal"/>
    <w:uiPriority w:val="69"/>
    <w:locked/>
    <w:rsid w:val="00F8075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5E5E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69696"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69696"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69696"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69696"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ACAC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ACACA" w:themeFill="accent3" w:themeFillTint="7F"/>
      </w:tcPr>
    </w:tblStylePr>
  </w:style>
  <w:style w:type="table" w:styleId="MediumGrid3-Accent4">
    <w:name w:val="Medium Grid 3 Accent 4"/>
    <w:basedOn w:val="TableNormal"/>
    <w:uiPriority w:val="69"/>
    <w:locked/>
    <w:rsid w:val="00F8075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FDF"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808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808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808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808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FB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FBF" w:themeFill="accent4" w:themeFillTint="7F"/>
      </w:tcPr>
    </w:tblStylePr>
  </w:style>
  <w:style w:type="table" w:styleId="MediumGrid3-Accent5">
    <w:name w:val="Medium Grid 3 Accent 5"/>
    <w:basedOn w:val="TableNormal"/>
    <w:uiPriority w:val="69"/>
    <w:locked/>
    <w:rsid w:val="00F8075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7D7D7"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F5F5F"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F5F5F"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F5F5F"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F5F5F"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FAFAF"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FAFAF" w:themeFill="accent5" w:themeFillTint="7F"/>
      </w:tcPr>
    </w:tblStylePr>
  </w:style>
  <w:style w:type="table" w:styleId="MediumGrid3-Accent6">
    <w:name w:val="Medium Grid 3 Accent 6"/>
    <w:basedOn w:val="TableNormal"/>
    <w:uiPriority w:val="69"/>
    <w:locked/>
    <w:rsid w:val="00F8075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3D3"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D4D4D"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D4D4D"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D4D4D"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D4D4D"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6A6A6"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6A6A6" w:themeFill="accent6" w:themeFillTint="7F"/>
      </w:tcPr>
    </w:tblStylePr>
  </w:style>
  <w:style w:type="table" w:styleId="MediumList1">
    <w:name w:val="Medium List 1"/>
    <w:basedOn w:val="TableNormal"/>
    <w:uiPriority w:val="65"/>
    <w:locked/>
    <w:rsid w:val="00F80750"/>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0000"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locked/>
    <w:rsid w:val="00F80750"/>
    <w:pPr>
      <w:spacing w:after="0" w:line="240" w:lineRule="auto"/>
    </w:pPr>
    <w:rPr>
      <w:color w:val="000000" w:themeColor="text1"/>
    </w:rPr>
    <w:tblPr>
      <w:tblStyleRowBandSize w:val="1"/>
      <w:tblStyleColBandSize w:val="1"/>
      <w:tblBorders>
        <w:top w:val="single" w:sz="8" w:space="0" w:color="DDDDDD" w:themeColor="accent1"/>
        <w:bottom w:val="single" w:sz="8" w:space="0" w:color="DDDDDD" w:themeColor="accent1"/>
      </w:tblBorders>
    </w:tblPr>
    <w:tblStylePr w:type="firstRow">
      <w:rPr>
        <w:rFonts w:asciiTheme="majorHAnsi" w:eastAsiaTheme="majorEastAsia" w:hAnsiTheme="majorHAnsi" w:cstheme="majorBidi"/>
      </w:rPr>
      <w:tblPr/>
      <w:tcPr>
        <w:tcBorders>
          <w:top w:val="nil"/>
          <w:bottom w:val="single" w:sz="8" w:space="0" w:color="DDDDDD" w:themeColor="accent1"/>
        </w:tcBorders>
      </w:tcPr>
    </w:tblStylePr>
    <w:tblStylePr w:type="lastRow">
      <w:rPr>
        <w:b/>
        <w:bCs/>
        <w:color w:val="000000" w:themeColor="text2"/>
      </w:rPr>
      <w:tblPr/>
      <w:tcPr>
        <w:tcBorders>
          <w:top w:val="single" w:sz="8" w:space="0" w:color="DDDDDD" w:themeColor="accent1"/>
          <w:bottom w:val="single" w:sz="8" w:space="0" w:color="DDDDDD" w:themeColor="accent1"/>
        </w:tcBorders>
      </w:tcPr>
    </w:tblStylePr>
    <w:tblStylePr w:type="firstCol">
      <w:rPr>
        <w:b/>
        <w:bCs/>
      </w:rPr>
    </w:tblStylePr>
    <w:tblStylePr w:type="lastCol">
      <w:rPr>
        <w:b/>
        <w:bCs/>
      </w:rPr>
      <w:tblPr/>
      <w:tcPr>
        <w:tcBorders>
          <w:top w:val="single" w:sz="8" w:space="0" w:color="DDDDDD" w:themeColor="accent1"/>
          <w:bottom w:val="single" w:sz="8" w:space="0" w:color="DDDDDD" w:themeColor="accent1"/>
        </w:tcBorders>
      </w:tcPr>
    </w:tblStylePr>
    <w:tblStylePr w:type="band1Vert">
      <w:tblPr/>
      <w:tcPr>
        <w:shd w:val="clear" w:color="auto" w:fill="F6F6F6" w:themeFill="accent1" w:themeFillTint="3F"/>
      </w:tcPr>
    </w:tblStylePr>
    <w:tblStylePr w:type="band1Horz">
      <w:tblPr/>
      <w:tcPr>
        <w:shd w:val="clear" w:color="auto" w:fill="F6F6F6" w:themeFill="accent1" w:themeFillTint="3F"/>
      </w:tcPr>
    </w:tblStylePr>
  </w:style>
  <w:style w:type="table" w:styleId="MediumList1-Accent2">
    <w:name w:val="Medium List 1 Accent 2"/>
    <w:basedOn w:val="TableNormal"/>
    <w:uiPriority w:val="65"/>
    <w:locked/>
    <w:rsid w:val="00F80750"/>
    <w:pPr>
      <w:spacing w:after="0" w:line="240" w:lineRule="auto"/>
    </w:pPr>
    <w:rPr>
      <w:color w:val="000000" w:themeColor="text1"/>
    </w:rPr>
    <w:tblPr>
      <w:tblStyleRowBandSize w:val="1"/>
      <w:tblStyleColBandSize w:val="1"/>
      <w:tblBorders>
        <w:top w:val="single" w:sz="8" w:space="0" w:color="B2B2B2" w:themeColor="accent2"/>
        <w:bottom w:val="single" w:sz="8" w:space="0" w:color="B2B2B2" w:themeColor="accent2"/>
      </w:tblBorders>
    </w:tblPr>
    <w:tblStylePr w:type="firstRow">
      <w:rPr>
        <w:rFonts w:asciiTheme="majorHAnsi" w:eastAsiaTheme="majorEastAsia" w:hAnsiTheme="majorHAnsi" w:cstheme="majorBidi"/>
      </w:rPr>
      <w:tblPr/>
      <w:tcPr>
        <w:tcBorders>
          <w:top w:val="nil"/>
          <w:bottom w:val="single" w:sz="8" w:space="0" w:color="B2B2B2" w:themeColor="accent2"/>
        </w:tcBorders>
      </w:tcPr>
    </w:tblStylePr>
    <w:tblStylePr w:type="lastRow">
      <w:rPr>
        <w:b/>
        <w:bCs/>
        <w:color w:val="000000" w:themeColor="text2"/>
      </w:rPr>
      <w:tblPr/>
      <w:tcPr>
        <w:tcBorders>
          <w:top w:val="single" w:sz="8" w:space="0" w:color="B2B2B2" w:themeColor="accent2"/>
          <w:bottom w:val="single" w:sz="8" w:space="0" w:color="B2B2B2" w:themeColor="accent2"/>
        </w:tcBorders>
      </w:tcPr>
    </w:tblStylePr>
    <w:tblStylePr w:type="firstCol">
      <w:rPr>
        <w:b/>
        <w:bCs/>
      </w:rPr>
    </w:tblStylePr>
    <w:tblStylePr w:type="lastCol">
      <w:rPr>
        <w:b/>
        <w:bCs/>
      </w:rPr>
      <w:tblPr/>
      <w:tcPr>
        <w:tcBorders>
          <w:top w:val="single" w:sz="8" w:space="0" w:color="B2B2B2" w:themeColor="accent2"/>
          <w:bottom w:val="single" w:sz="8" w:space="0" w:color="B2B2B2" w:themeColor="accent2"/>
        </w:tcBorders>
      </w:tcPr>
    </w:tblStylePr>
    <w:tblStylePr w:type="band1Vert">
      <w:tblPr/>
      <w:tcPr>
        <w:shd w:val="clear" w:color="auto" w:fill="EBEBEB" w:themeFill="accent2" w:themeFillTint="3F"/>
      </w:tcPr>
    </w:tblStylePr>
    <w:tblStylePr w:type="band1Horz">
      <w:tblPr/>
      <w:tcPr>
        <w:shd w:val="clear" w:color="auto" w:fill="EBEBEB" w:themeFill="accent2" w:themeFillTint="3F"/>
      </w:tcPr>
    </w:tblStylePr>
  </w:style>
  <w:style w:type="table" w:styleId="MediumList1-Accent3">
    <w:name w:val="Medium List 1 Accent 3"/>
    <w:basedOn w:val="TableNormal"/>
    <w:uiPriority w:val="65"/>
    <w:locked/>
    <w:rsid w:val="00F80750"/>
    <w:pPr>
      <w:spacing w:after="0" w:line="240" w:lineRule="auto"/>
    </w:pPr>
    <w:rPr>
      <w:color w:val="000000" w:themeColor="text1"/>
    </w:rPr>
    <w:tblPr>
      <w:tblStyleRowBandSize w:val="1"/>
      <w:tblStyleColBandSize w:val="1"/>
      <w:tblBorders>
        <w:top w:val="single" w:sz="8" w:space="0" w:color="969696" w:themeColor="accent3"/>
        <w:bottom w:val="single" w:sz="8" w:space="0" w:color="969696" w:themeColor="accent3"/>
      </w:tblBorders>
    </w:tblPr>
    <w:tblStylePr w:type="firstRow">
      <w:rPr>
        <w:rFonts w:asciiTheme="majorHAnsi" w:eastAsiaTheme="majorEastAsia" w:hAnsiTheme="majorHAnsi" w:cstheme="majorBidi"/>
      </w:rPr>
      <w:tblPr/>
      <w:tcPr>
        <w:tcBorders>
          <w:top w:val="nil"/>
          <w:bottom w:val="single" w:sz="8" w:space="0" w:color="969696" w:themeColor="accent3"/>
        </w:tcBorders>
      </w:tcPr>
    </w:tblStylePr>
    <w:tblStylePr w:type="lastRow">
      <w:rPr>
        <w:b/>
        <w:bCs/>
        <w:color w:val="000000" w:themeColor="text2"/>
      </w:rPr>
      <w:tblPr/>
      <w:tcPr>
        <w:tcBorders>
          <w:top w:val="single" w:sz="8" w:space="0" w:color="969696" w:themeColor="accent3"/>
          <w:bottom w:val="single" w:sz="8" w:space="0" w:color="969696" w:themeColor="accent3"/>
        </w:tcBorders>
      </w:tcPr>
    </w:tblStylePr>
    <w:tblStylePr w:type="firstCol">
      <w:rPr>
        <w:b/>
        <w:bCs/>
      </w:rPr>
    </w:tblStylePr>
    <w:tblStylePr w:type="lastCol">
      <w:rPr>
        <w:b/>
        <w:bCs/>
      </w:rPr>
      <w:tblPr/>
      <w:tcPr>
        <w:tcBorders>
          <w:top w:val="single" w:sz="8" w:space="0" w:color="969696" w:themeColor="accent3"/>
          <w:bottom w:val="single" w:sz="8" w:space="0" w:color="969696" w:themeColor="accent3"/>
        </w:tcBorders>
      </w:tcPr>
    </w:tblStylePr>
    <w:tblStylePr w:type="band1Vert">
      <w:tblPr/>
      <w:tcPr>
        <w:shd w:val="clear" w:color="auto" w:fill="E5E5E5" w:themeFill="accent3" w:themeFillTint="3F"/>
      </w:tcPr>
    </w:tblStylePr>
    <w:tblStylePr w:type="band1Horz">
      <w:tblPr/>
      <w:tcPr>
        <w:shd w:val="clear" w:color="auto" w:fill="E5E5E5" w:themeFill="accent3" w:themeFillTint="3F"/>
      </w:tcPr>
    </w:tblStylePr>
  </w:style>
  <w:style w:type="table" w:styleId="MediumList1-Accent4">
    <w:name w:val="Medium List 1 Accent 4"/>
    <w:basedOn w:val="TableNormal"/>
    <w:uiPriority w:val="65"/>
    <w:locked/>
    <w:rsid w:val="00F80750"/>
    <w:pPr>
      <w:spacing w:after="0" w:line="240" w:lineRule="auto"/>
    </w:pPr>
    <w:rPr>
      <w:color w:val="000000" w:themeColor="text1"/>
    </w:rPr>
    <w:tblPr>
      <w:tblStyleRowBandSize w:val="1"/>
      <w:tblStyleColBandSize w:val="1"/>
      <w:tblBorders>
        <w:top w:val="single" w:sz="8" w:space="0" w:color="808080" w:themeColor="accent4"/>
        <w:bottom w:val="single" w:sz="8" w:space="0" w:color="808080" w:themeColor="accent4"/>
      </w:tblBorders>
    </w:tblPr>
    <w:tblStylePr w:type="firstRow">
      <w:rPr>
        <w:rFonts w:asciiTheme="majorHAnsi" w:eastAsiaTheme="majorEastAsia" w:hAnsiTheme="majorHAnsi" w:cstheme="majorBidi"/>
      </w:rPr>
      <w:tblPr/>
      <w:tcPr>
        <w:tcBorders>
          <w:top w:val="nil"/>
          <w:bottom w:val="single" w:sz="8" w:space="0" w:color="808080" w:themeColor="accent4"/>
        </w:tcBorders>
      </w:tcPr>
    </w:tblStylePr>
    <w:tblStylePr w:type="lastRow">
      <w:rPr>
        <w:b/>
        <w:bCs/>
        <w:color w:val="000000" w:themeColor="text2"/>
      </w:rPr>
      <w:tblPr/>
      <w:tcPr>
        <w:tcBorders>
          <w:top w:val="single" w:sz="8" w:space="0" w:color="808080" w:themeColor="accent4"/>
          <w:bottom w:val="single" w:sz="8" w:space="0" w:color="808080" w:themeColor="accent4"/>
        </w:tcBorders>
      </w:tcPr>
    </w:tblStylePr>
    <w:tblStylePr w:type="firstCol">
      <w:rPr>
        <w:b/>
        <w:bCs/>
      </w:rPr>
    </w:tblStylePr>
    <w:tblStylePr w:type="lastCol">
      <w:rPr>
        <w:b/>
        <w:bCs/>
      </w:rPr>
      <w:tblPr/>
      <w:tcPr>
        <w:tcBorders>
          <w:top w:val="single" w:sz="8" w:space="0" w:color="808080" w:themeColor="accent4"/>
          <w:bottom w:val="single" w:sz="8" w:space="0" w:color="808080" w:themeColor="accent4"/>
        </w:tcBorders>
      </w:tcPr>
    </w:tblStylePr>
    <w:tblStylePr w:type="band1Vert">
      <w:tblPr/>
      <w:tcPr>
        <w:shd w:val="clear" w:color="auto" w:fill="DFDFDF" w:themeFill="accent4" w:themeFillTint="3F"/>
      </w:tcPr>
    </w:tblStylePr>
    <w:tblStylePr w:type="band1Horz">
      <w:tblPr/>
      <w:tcPr>
        <w:shd w:val="clear" w:color="auto" w:fill="DFDFDF" w:themeFill="accent4" w:themeFillTint="3F"/>
      </w:tcPr>
    </w:tblStylePr>
  </w:style>
  <w:style w:type="table" w:styleId="MediumList1-Accent5">
    <w:name w:val="Medium List 1 Accent 5"/>
    <w:basedOn w:val="TableNormal"/>
    <w:uiPriority w:val="65"/>
    <w:locked/>
    <w:rsid w:val="00F80750"/>
    <w:pPr>
      <w:spacing w:after="0" w:line="240" w:lineRule="auto"/>
    </w:pPr>
    <w:rPr>
      <w:color w:val="000000" w:themeColor="text1"/>
    </w:rPr>
    <w:tblPr>
      <w:tblStyleRowBandSize w:val="1"/>
      <w:tblStyleColBandSize w:val="1"/>
      <w:tblBorders>
        <w:top w:val="single" w:sz="8" w:space="0" w:color="5F5F5F" w:themeColor="accent5"/>
        <w:bottom w:val="single" w:sz="8" w:space="0" w:color="5F5F5F" w:themeColor="accent5"/>
      </w:tblBorders>
    </w:tblPr>
    <w:tblStylePr w:type="firstRow">
      <w:rPr>
        <w:rFonts w:asciiTheme="majorHAnsi" w:eastAsiaTheme="majorEastAsia" w:hAnsiTheme="majorHAnsi" w:cstheme="majorBidi"/>
      </w:rPr>
      <w:tblPr/>
      <w:tcPr>
        <w:tcBorders>
          <w:top w:val="nil"/>
          <w:bottom w:val="single" w:sz="8" w:space="0" w:color="5F5F5F" w:themeColor="accent5"/>
        </w:tcBorders>
      </w:tcPr>
    </w:tblStylePr>
    <w:tblStylePr w:type="lastRow">
      <w:rPr>
        <w:b/>
        <w:bCs/>
        <w:color w:val="000000" w:themeColor="text2"/>
      </w:rPr>
      <w:tblPr/>
      <w:tcPr>
        <w:tcBorders>
          <w:top w:val="single" w:sz="8" w:space="0" w:color="5F5F5F" w:themeColor="accent5"/>
          <w:bottom w:val="single" w:sz="8" w:space="0" w:color="5F5F5F" w:themeColor="accent5"/>
        </w:tcBorders>
      </w:tcPr>
    </w:tblStylePr>
    <w:tblStylePr w:type="firstCol">
      <w:rPr>
        <w:b/>
        <w:bCs/>
      </w:rPr>
    </w:tblStylePr>
    <w:tblStylePr w:type="lastCol">
      <w:rPr>
        <w:b/>
        <w:bCs/>
      </w:rPr>
      <w:tblPr/>
      <w:tcPr>
        <w:tcBorders>
          <w:top w:val="single" w:sz="8" w:space="0" w:color="5F5F5F" w:themeColor="accent5"/>
          <w:bottom w:val="single" w:sz="8" w:space="0" w:color="5F5F5F" w:themeColor="accent5"/>
        </w:tcBorders>
      </w:tcPr>
    </w:tblStylePr>
    <w:tblStylePr w:type="band1Vert">
      <w:tblPr/>
      <w:tcPr>
        <w:shd w:val="clear" w:color="auto" w:fill="D7D7D7" w:themeFill="accent5" w:themeFillTint="3F"/>
      </w:tcPr>
    </w:tblStylePr>
    <w:tblStylePr w:type="band1Horz">
      <w:tblPr/>
      <w:tcPr>
        <w:shd w:val="clear" w:color="auto" w:fill="D7D7D7" w:themeFill="accent5" w:themeFillTint="3F"/>
      </w:tcPr>
    </w:tblStylePr>
  </w:style>
  <w:style w:type="table" w:styleId="MediumList1-Accent6">
    <w:name w:val="Medium List 1 Accent 6"/>
    <w:basedOn w:val="TableNormal"/>
    <w:uiPriority w:val="65"/>
    <w:locked/>
    <w:rsid w:val="00F80750"/>
    <w:pPr>
      <w:spacing w:after="0" w:line="240" w:lineRule="auto"/>
    </w:pPr>
    <w:rPr>
      <w:color w:val="000000" w:themeColor="text1"/>
    </w:rPr>
    <w:tblPr>
      <w:tblStyleRowBandSize w:val="1"/>
      <w:tblStyleColBandSize w:val="1"/>
      <w:tblBorders>
        <w:top w:val="single" w:sz="8" w:space="0" w:color="4D4D4D" w:themeColor="accent6"/>
        <w:bottom w:val="single" w:sz="8" w:space="0" w:color="4D4D4D" w:themeColor="accent6"/>
      </w:tblBorders>
    </w:tblPr>
    <w:tblStylePr w:type="firstRow">
      <w:rPr>
        <w:rFonts w:asciiTheme="majorHAnsi" w:eastAsiaTheme="majorEastAsia" w:hAnsiTheme="majorHAnsi" w:cstheme="majorBidi"/>
      </w:rPr>
      <w:tblPr/>
      <w:tcPr>
        <w:tcBorders>
          <w:top w:val="nil"/>
          <w:bottom w:val="single" w:sz="8" w:space="0" w:color="4D4D4D" w:themeColor="accent6"/>
        </w:tcBorders>
      </w:tcPr>
    </w:tblStylePr>
    <w:tblStylePr w:type="lastRow">
      <w:rPr>
        <w:b/>
        <w:bCs/>
        <w:color w:val="000000" w:themeColor="text2"/>
      </w:rPr>
      <w:tblPr/>
      <w:tcPr>
        <w:tcBorders>
          <w:top w:val="single" w:sz="8" w:space="0" w:color="4D4D4D" w:themeColor="accent6"/>
          <w:bottom w:val="single" w:sz="8" w:space="0" w:color="4D4D4D" w:themeColor="accent6"/>
        </w:tcBorders>
      </w:tcPr>
    </w:tblStylePr>
    <w:tblStylePr w:type="firstCol">
      <w:rPr>
        <w:b/>
        <w:bCs/>
      </w:rPr>
    </w:tblStylePr>
    <w:tblStylePr w:type="lastCol">
      <w:rPr>
        <w:b/>
        <w:bCs/>
      </w:rPr>
      <w:tblPr/>
      <w:tcPr>
        <w:tcBorders>
          <w:top w:val="single" w:sz="8" w:space="0" w:color="4D4D4D" w:themeColor="accent6"/>
          <w:bottom w:val="single" w:sz="8" w:space="0" w:color="4D4D4D" w:themeColor="accent6"/>
        </w:tcBorders>
      </w:tcPr>
    </w:tblStylePr>
    <w:tblStylePr w:type="band1Vert">
      <w:tblPr/>
      <w:tcPr>
        <w:shd w:val="clear" w:color="auto" w:fill="D3D3D3" w:themeFill="accent6" w:themeFillTint="3F"/>
      </w:tcPr>
    </w:tblStylePr>
    <w:tblStylePr w:type="band1Horz">
      <w:tblPr/>
      <w:tcPr>
        <w:shd w:val="clear" w:color="auto" w:fill="D3D3D3" w:themeFill="accent6" w:themeFillTint="3F"/>
      </w:tcPr>
    </w:tblStylePr>
  </w:style>
  <w:style w:type="table" w:styleId="MediumList2">
    <w:name w:val="Medium List 2"/>
    <w:basedOn w:val="TableNormal"/>
    <w:uiPriority w:val="66"/>
    <w:locked/>
    <w:rsid w:val="00F8075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locked/>
    <w:rsid w:val="00F8075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DDDDDD" w:themeColor="accent1"/>
        <w:left w:val="single" w:sz="8" w:space="0" w:color="DDDDDD" w:themeColor="accent1"/>
        <w:bottom w:val="single" w:sz="8" w:space="0" w:color="DDDDDD" w:themeColor="accent1"/>
        <w:right w:val="single" w:sz="8" w:space="0" w:color="DDDDDD" w:themeColor="accent1"/>
      </w:tblBorders>
    </w:tblPr>
    <w:tblStylePr w:type="firstRow">
      <w:rPr>
        <w:sz w:val="24"/>
        <w:szCs w:val="24"/>
      </w:rPr>
      <w:tblPr/>
      <w:tcPr>
        <w:tcBorders>
          <w:top w:val="nil"/>
          <w:left w:val="nil"/>
          <w:bottom w:val="single" w:sz="24" w:space="0" w:color="DDDDDD" w:themeColor="accent1"/>
          <w:right w:val="nil"/>
          <w:insideH w:val="nil"/>
          <w:insideV w:val="nil"/>
        </w:tcBorders>
        <w:shd w:val="clear" w:color="auto" w:fill="FFFFFF" w:themeFill="background1"/>
      </w:tcPr>
    </w:tblStylePr>
    <w:tblStylePr w:type="lastRow">
      <w:tblPr/>
      <w:tcPr>
        <w:tcBorders>
          <w:top w:val="single" w:sz="8" w:space="0" w:color="DDDDD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DDDDDD" w:themeColor="accent1"/>
          <w:insideH w:val="nil"/>
          <w:insideV w:val="nil"/>
        </w:tcBorders>
        <w:shd w:val="clear" w:color="auto" w:fill="FFFFFF" w:themeFill="background1"/>
      </w:tcPr>
    </w:tblStylePr>
    <w:tblStylePr w:type="lastCol">
      <w:tblPr/>
      <w:tcPr>
        <w:tcBorders>
          <w:top w:val="nil"/>
          <w:left w:val="single" w:sz="8" w:space="0" w:color="DDDDD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6F6F6" w:themeFill="accent1" w:themeFillTint="3F"/>
      </w:tcPr>
    </w:tblStylePr>
    <w:tblStylePr w:type="band1Horz">
      <w:tblPr/>
      <w:tcPr>
        <w:tcBorders>
          <w:top w:val="nil"/>
          <w:bottom w:val="nil"/>
          <w:insideH w:val="nil"/>
          <w:insideV w:val="nil"/>
        </w:tcBorders>
        <w:shd w:val="clear" w:color="auto" w:fill="F6F6F6"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locked/>
    <w:rsid w:val="00F8075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2B2B2" w:themeColor="accent2"/>
        <w:left w:val="single" w:sz="8" w:space="0" w:color="B2B2B2" w:themeColor="accent2"/>
        <w:bottom w:val="single" w:sz="8" w:space="0" w:color="B2B2B2" w:themeColor="accent2"/>
        <w:right w:val="single" w:sz="8" w:space="0" w:color="B2B2B2" w:themeColor="accent2"/>
      </w:tblBorders>
    </w:tblPr>
    <w:tblStylePr w:type="firstRow">
      <w:rPr>
        <w:sz w:val="24"/>
        <w:szCs w:val="24"/>
      </w:rPr>
      <w:tblPr/>
      <w:tcPr>
        <w:tcBorders>
          <w:top w:val="nil"/>
          <w:left w:val="nil"/>
          <w:bottom w:val="single" w:sz="24" w:space="0" w:color="B2B2B2" w:themeColor="accent2"/>
          <w:right w:val="nil"/>
          <w:insideH w:val="nil"/>
          <w:insideV w:val="nil"/>
        </w:tcBorders>
        <w:shd w:val="clear" w:color="auto" w:fill="FFFFFF" w:themeFill="background1"/>
      </w:tcPr>
    </w:tblStylePr>
    <w:tblStylePr w:type="lastRow">
      <w:tblPr/>
      <w:tcPr>
        <w:tcBorders>
          <w:top w:val="single" w:sz="8" w:space="0" w:color="B2B2B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2B2B2" w:themeColor="accent2"/>
          <w:insideH w:val="nil"/>
          <w:insideV w:val="nil"/>
        </w:tcBorders>
        <w:shd w:val="clear" w:color="auto" w:fill="FFFFFF" w:themeFill="background1"/>
      </w:tcPr>
    </w:tblStylePr>
    <w:tblStylePr w:type="lastCol">
      <w:tblPr/>
      <w:tcPr>
        <w:tcBorders>
          <w:top w:val="nil"/>
          <w:left w:val="single" w:sz="8" w:space="0" w:color="B2B2B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EBEB" w:themeFill="accent2" w:themeFillTint="3F"/>
      </w:tcPr>
    </w:tblStylePr>
    <w:tblStylePr w:type="band1Horz">
      <w:tblPr/>
      <w:tcPr>
        <w:tcBorders>
          <w:top w:val="nil"/>
          <w:bottom w:val="nil"/>
          <w:insideH w:val="nil"/>
          <w:insideV w:val="nil"/>
        </w:tcBorders>
        <w:shd w:val="clear" w:color="auto" w:fill="EBEB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locked/>
    <w:rsid w:val="00F8075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69696" w:themeColor="accent3"/>
        <w:left w:val="single" w:sz="8" w:space="0" w:color="969696" w:themeColor="accent3"/>
        <w:bottom w:val="single" w:sz="8" w:space="0" w:color="969696" w:themeColor="accent3"/>
        <w:right w:val="single" w:sz="8" w:space="0" w:color="969696" w:themeColor="accent3"/>
      </w:tblBorders>
    </w:tblPr>
    <w:tblStylePr w:type="firstRow">
      <w:rPr>
        <w:sz w:val="24"/>
        <w:szCs w:val="24"/>
      </w:rPr>
      <w:tblPr/>
      <w:tcPr>
        <w:tcBorders>
          <w:top w:val="nil"/>
          <w:left w:val="nil"/>
          <w:bottom w:val="single" w:sz="24" w:space="0" w:color="969696" w:themeColor="accent3"/>
          <w:right w:val="nil"/>
          <w:insideH w:val="nil"/>
          <w:insideV w:val="nil"/>
        </w:tcBorders>
        <w:shd w:val="clear" w:color="auto" w:fill="FFFFFF" w:themeFill="background1"/>
      </w:tcPr>
    </w:tblStylePr>
    <w:tblStylePr w:type="lastRow">
      <w:tblPr/>
      <w:tcPr>
        <w:tcBorders>
          <w:top w:val="single" w:sz="8" w:space="0" w:color="969696"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69696" w:themeColor="accent3"/>
          <w:insideH w:val="nil"/>
          <w:insideV w:val="nil"/>
        </w:tcBorders>
        <w:shd w:val="clear" w:color="auto" w:fill="FFFFFF" w:themeFill="background1"/>
      </w:tcPr>
    </w:tblStylePr>
    <w:tblStylePr w:type="lastCol">
      <w:tblPr/>
      <w:tcPr>
        <w:tcBorders>
          <w:top w:val="nil"/>
          <w:left w:val="single" w:sz="8" w:space="0" w:color="969696"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5E5E5" w:themeFill="accent3" w:themeFillTint="3F"/>
      </w:tcPr>
    </w:tblStylePr>
    <w:tblStylePr w:type="band1Horz">
      <w:tblPr/>
      <w:tcPr>
        <w:tcBorders>
          <w:top w:val="nil"/>
          <w:bottom w:val="nil"/>
          <w:insideH w:val="nil"/>
          <w:insideV w:val="nil"/>
        </w:tcBorders>
        <w:shd w:val="clear" w:color="auto" w:fill="E5E5E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locked/>
    <w:rsid w:val="00F8075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8080" w:themeColor="accent4"/>
        <w:left w:val="single" w:sz="8" w:space="0" w:color="808080" w:themeColor="accent4"/>
        <w:bottom w:val="single" w:sz="8" w:space="0" w:color="808080" w:themeColor="accent4"/>
        <w:right w:val="single" w:sz="8" w:space="0" w:color="808080" w:themeColor="accent4"/>
      </w:tblBorders>
    </w:tblPr>
    <w:tblStylePr w:type="firstRow">
      <w:rPr>
        <w:sz w:val="24"/>
        <w:szCs w:val="24"/>
      </w:rPr>
      <w:tblPr/>
      <w:tcPr>
        <w:tcBorders>
          <w:top w:val="nil"/>
          <w:left w:val="nil"/>
          <w:bottom w:val="single" w:sz="24" w:space="0" w:color="808080" w:themeColor="accent4"/>
          <w:right w:val="nil"/>
          <w:insideH w:val="nil"/>
          <w:insideV w:val="nil"/>
        </w:tcBorders>
        <w:shd w:val="clear" w:color="auto" w:fill="FFFFFF" w:themeFill="background1"/>
      </w:tcPr>
    </w:tblStylePr>
    <w:tblStylePr w:type="lastRow">
      <w:tblPr/>
      <w:tcPr>
        <w:tcBorders>
          <w:top w:val="single" w:sz="8" w:space="0" w:color="80808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8080" w:themeColor="accent4"/>
          <w:insideH w:val="nil"/>
          <w:insideV w:val="nil"/>
        </w:tcBorders>
        <w:shd w:val="clear" w:color="auto" w:fill="FFFFFF" w:themeFill="background1"/>
      </w:tcPr>
    </w:tblStylePr>
    <w:tblStylePr w:type="lastCol">
      <w:tblPr/>
      <w:tcPr>
        <w:tcBorders>
          <w:top w:val="nil"/>
          <w:left w:val="single" w:sz="8" w:space="0" w:color="80808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FDF" w:themeFill="accent4" w:themeFillTint="3F"/>
      </w:tcPr>
    </w:tblStylePr>
    <w:tblStylePr w:type="band1Horz">
      <w:tblPr/>
      <w:tcPr>
        <w:tcBorders>
          <w:top w:val="nil"/>
          <w:bottom w:val="nil"/>
          <w:insideH w:val="nil"/>
          <w:insideV w:val="nil"/>
        </w:tcBorders>
        <w:shd w:val="clear" w:color="auto" w:fill="DFDFDF"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locked/>
    <w:rsid w:val="00F8075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tblBorders>
    </w:tblPr>
    <w:tblStylePr w:type="firstRow">
      <w:rPr>
        <w:sz w:val="24"/>
        <w:szCs w:val="24"/>
      </w:rPr>
      <w:tblPr/>
      <w:tcPr>
        <w:tcBorders>
          <w:top w:val="nil"/>
          <w:left w:val="nil"/>
          <w:bottom w:val="single" w:sz="24" w:space="0" w:color="5F5F5F" w:themeColor="accent5"/>
          <w:right w:val="nil"/>
          <w:insideH w:val="nil"/>
          <w:insideV w:val="nil"/>
        </w:tcBorders>
        <w:shd w:val="clear" w:color="auto" w:fill="FFFFFF" w:themeFill="background1"/>
      </w:tcPr>
    </w:tblStylePr>
    <w:tblStylePr w:type="lastRow">
      <w:tblPr/>
      <w:tcPr>
        <w:tcBorders>
          <w:top w:val="single" w:sz="8" w:space="0" w:color="5F5F5F"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F5F5F" w:themeColor="accent5"/>
          <w:insideH w:val="nil"/>
          <w:insideV w:val="nil"/>
        </w:tcBorders>
        <w:shd w:val="clear" w:color="auto" w:fill="FFFFFF" w:themeFill="background1"/>
      </w:tcPr>
    </w:tblStylePr>
    <w:tblStylePr w:type="lastCol">
      <w:tblPr/>
      <w:tcPr>
        <w:tcBorders>
          <w:top w:val="nil"/>
          <w:left w:val="single" w:sz="8" w:space="0" w:color="5F5F5F"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7D7D7" w:themeFill="accent5" w:themeFillTint="3F"/>
      </w:tcPr>
    </w:tblStylePr>
    <w:tblStylePr w:type="band1Horz">
      <w:tblPr/>
      <w:tcPr>
        <w:tcBorders>
          <w:top w:val="nil"/>
          <w:bottom w:val="nil"/>
          <w:insideH w:val="nil"/>
          <w:insideV w:val="nil"/>
        </w:tcBorders>
        <w:shd w:val="clear" w:color="auto" w:fill="D7D7D7"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locked/>
    <w:rsid w:val="00F8075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tblBorders>
    </w:tblPr>
    <w:tblStylePr w:type="firstRow">
      <w:rPr>
        <w:sz w:val="24"/>
        <w:szCs w:val="24"/>
      </w:rPr>
      <w:tblPr/>
      <w:tcPr>
        <w:tcBorders>
          <w:top w:val="nil"/>
          <w:left w:val="nil"/>
          <w:bottom w:val="single" w:sz="24" w:space="0" w:color="4D4D4D" w:themeColor="accent6"/>
          <w:right w:val="nil"/>
          <w:insideH w:val="nil"/>
          <w:insideV w:val="nil"/>
        </w:tcBorders>
        <w:shd w:val="clear" w:color="auto" w:fill="FFFFFF" w:themeFill="background1"/>
      </w:tcPr>
    </w:tblStylePr>
    <w:tblStylePr w:type="lastRow">
      <w:tblPr/>
      <w:tcPr>
        <w:tcBorders>
          <w:top w:val="single" w:sz="8" w:space="0" w:color="4D4D4D"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D4D4D" w:themeColor="accent6"/>
          <w:insideH w:val="nil"/>
          <w:insideV w:val="nil"/>
        </w:tcBorders>
        <w:shd w:val="clear" w:color="auto" w:fill="FFFFFF" w:themeFill="background1"/>
      </w:tcPr>
    </w:tblStylePr>
    <w:tblStylePr w:type="lastCol">
      <w:tblPr/>
      <w:tcPr>
        <w:tcBorders>
          <w:top w:val="nil"/>
          <w:left w:val="single" w:sz="8" w:space="0" w:color="4D4D4D"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3D3" w:themeFill="accent6" w:themeFillTint="3F"/>
      </w:tcPr>
    </w:tblStylePr>
    <w:tblStylePr w:type="band1Horz">
      <w:tblPr/>
      <w:tcPr>
        <w:tcBorders>
          <w:top w:val="nil"/>
          <w:bottom w:val="nil"/>
          <w:insideH w:val="nil"/>
          <w:insideV w:val="nil"/>
        </w:tcBorders>
        <w:shd w:val="clear" w:color="auto" w:fill="D3D3D3"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locked/>
    <w:rsid w:val="00F80750"/>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locked/>
    <w:rsid w:val="00F80750"/>
    <w:pPr>
      <w:spacing w:after="0" w:line="240" w:lineRule="auto"/>
    </w:pPr>
    <w:tblPr>
      <w:tblStyleRowBandSize w:val="1"/>
      <w:tblStyleColBandSize w:val="1"/>
      <w:tblBorders>
        <w:top w:val="single" w:sz="8" w:space="0" w:color="E5E5E5" w:themeColor="accent1" w:themeTint="BF"/>
        <w:left w:val="single" w:sz="8" w:space="0" w:color="E5E5E5" w:themeColor="accent1" w:themeTint="BF"/>
        <w:bottom w:val="single" w:sz="8" w:space="0" w:color="E5E5E5" w:themeColor="accent1" w:themeTint="BF"/>
        <w:right w:val="single" w:sz="8" w:space="0" w:color="E5E5E5" w:themeColor="accent1" w:themeTint="BF"/>
        <w:insideH w:val="single" w:sz="8" w:space="0" w:color="E5E5E5" w:themeColor="accent1" w:themeTint="BF"/>
      </w:tblBorders>
    </w:tblPr>
    <w:tblStylePr w:type="firstRow">
      <w:pPr>
        <w:spacing w:before="0" w:after="0" w:line="240" w:lineRule="auto"/>
      </w:pPr>
      <w:rPr>
        <w:b/>
        <w:bCs/>
        <w:color w:val="FFFFFF" w:themeColor="background1"/>
      </w:rPr>
      <w:tblPr/>
      <w:tcPr>
        <w:tcBorders>
          <w:top w:val="single" w:sz="8" w:space="0" w:color="E5E5E5" w:themeColor="accent1" w:themeTint="BF"/>
          <w:left w:val="single" w:sz="8" w:space="0" w:color="E5E5E5" w:themeColor="accent1" w:themeTint="BF"/>
          <w:bottom w:val="single" w:sz="8" w:space="0" w:color="E5E5E5" w:themeColor="accent1" w:themeTint="BF"/>
          <w:right w:val="single" w:sz="8" w:space="0" w:color="E5E5E5" w:themeColor="accent1" w:themeTint="BF"/>
          <w:insideH w:val="nil"/>
          <w:insideV w:val="nil"/>
        </w:tcBorders>
        <w:shd w:val="clear" w:color="auto" w:fill="DDDDDD" w:themeFill="accent1"/>
      </w:tcPr>
    </w:tblStylePr>
    <w:tblStylePr w:type="lastRow">
      <w:pPr>
        <w:spacing w:before="0" w:after="0" w:line="240" w:lineRule="auto"/>
      </w:pPr>
      <w:rPr>
        <w:b/>
        <w:bCs/>
      </w:rPr>
      <w:tblPr/>
      <w:tcPr>
        <w:tcBorders>
          <w:top w:val="double" w:sz="6" w:space="0" w:color="E5E5E5" w:themeColor="accent1" w:themeTint="BF"/>
          <w:left w:val="single" w:sz="8" w:space="0" w:color="E5E5E5" w:themeColor="accent1" w:themeTint="BF"/>
          <w:bottom w:val="single" w:sz="8" w:space="0" w:color="E5E5E5" w:themeColor="accent1" w:themeTint="BF"/>
          <w:right w:val="single" w:sz="8" w:space="0" w:color="E5E5E5" w:themeColor="accent1" w:themeTint="BF"/>
          <w:insideH w:val="nil"/>
          <w:insideV w:val="nil"/>
        </w:tcBorders>
      </w:tcPr>
    </w:tblStylePr>
    <w:tblStylePr w:type="firstCol">
      <w:rPr>
        <w:b/>
        <w:bCs/>
      </w:rPr>
    </w:tblStylePr>
    <w:tblStylePr w:type="lastCol">
      <w:rPr>
        <w:b/>
        <w:bCs/>
      </w:rPr>
    </w:tblStylePr>
    <w:tblStylePr w:type="band1Vert">
      <w:tblPr/>
      <w:tcPr>
        <w:shd w:val="clear" w:color="auto" w:fill="F6F6F6" w:themeFill="accent1" w:themeFillTint="3F"/>
      </w:tcPr>
    </w:tblStylePr>
    <w:tblStylePr w:type="band1Horz">
      <w:tblPr/>
      <w:tcPr>
        <w:tcBorders>
          <w:insideH w:val="nil"/>
          <w:insideV w:val="nil"/>
        </w:tcBorders>
        <w:shd w:val="clear" w:color="auto" w:fill="F6F6F6"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locked/>
    <w:rsid w:val="00F80750"/>
    <w:pPr>
      <w:spacing w:after="0" w:line="240" w:lineRule="auto"/>
    </w:pPr>
    <w:tblPr>
      <w:tblStyleRowBandSize w:val="1"/>
      <w:tblStyleColBandSize w:val="1"/>
      <w:tblBorders>
        <w:top w:val="single" w:sz="8" w:space="0" w:color="C5C5C5" w:themeColor="accent2" w:themeTint="BF"/>
        <w:left w:val="single" w:sz="8" w:space="0" w:color="C5C5C5" w:themeColor="accent2" w:themeTint="BF"/>
        <w:bottom w:val="single" w:sz="8" w:space="0" w:color="C5C5C5" w:themeColor="accent2" w:themeTint="BF"/>
        <w:right w:val="single" w:sz="8" w:space="0" w:color="C5C5C5" w:themeColor="accent2" w:themeTint="BF"/>
        <w:insideH w:val="single" w:sz="8" w:space="0" w:color="C5C5C5" w:themeColor="accent2" w:themeTint="BF"/>
      </w:tblBorders>
    </w:tblPr>
    <w:tblStylePr w:type="firstRow">
      <w:pPr>
        <w:spacing w:before="0" w:after="0" w:line="240" w:lineRule="auto"/>
      </w:pPr>
      <w:rPr>
        <w:b/>
        <w:bCs/>
        <w:color w:val="FFFFFF" w:themeColor="background1"/>
      </w:rPr>
      <w:tblPr/>
      <w:tcPr>
        <w:tcBorders>
          <w:top w:val="single" w:sz="8" w:space="0" w:color="C5C5C5" w:themeColor="accent2" w:themeTint="BF"/>
          <w:left w:val="single" w:sz="8" w:space="0" w:color="C5C5C5" w:themeColor="accent2" w:themeTint="BF"/>
          <w:bottom w:val="single" w:sz="8" w:space="0" w:color="C5C5C5" w:themeColor="accent2" w:themeTint="BF"/>
          <w:right w:val="single" w:sz="8" w:space="0" w:color="C5C5C5" w:themeColor="accent2" w:themeTint="BF"/>
          <w:insideH w:val="nil"/>
          <w:insideV w:val="nil"/>
        </w:tcBorders>
        <w:shd w:val="clear" w:color="auto" w:fill="B2B2B2" w:themeFill="accent2"/>
      </w:tcPr>
    </w:tblStylePr>
    <w:tblStylePr w:type="lastRow">
      <w:pPr>
        <w:spacing w:before="0" w:after="0" w:line="240" w:lineRule="auto"/>
      </w:pPr>
      <w:rPr>
        <w:b/>
        <w:bCs/>
      </w:rPr>
      <w:tblPr/>
      <w:tcPr>
        <w:tcBorders>
          <w:top w:val="double" w:sz="6" w:space="0" w:color="C5C5C5" w:themeColor="accent2" w:themeTint="BF"/>
          <w:left w:val="single" w:sz="8" w:space="0" w:color="C5C5C5" w:themeColor="accent2" w:themeTint="BF"/>
          <w:bottom w:val="single" w:sz="8" w:space="0" w:color="C5C5C5" w:themeColor="accent2" w:themeTint="BF"/>
          <w:right w:val="single" w:sz="8" w:space="0" w:color="C5C5C5" w:themeColor="accent2" w:themeTint="BF"/>
          <w:insideH w:val="nil"/>
          <w:insideV w:val="nil"/>
        </w:tcBorders>
      </w:tcPr>
    </w:tblStylePr>
    <w:tblStylePr w:type="firstCol">
      <w:rPr>
        <w:b/>
        <w:bCs/>
      </w:rPr>
    </w:tblStylePr>
    <w:tblStylePr w:type="lastCol">
      <w:rPr>
        <w:b/>
        <w:bCs/>
      </w:rPr>
    </w:tblStylePr>
    <w:tblStylePr w:type="band1Vert">
      <w:tblPr/>
      <w:tcPr>
        <w:shd w:val="clear" w:color="auto" w:fill="EBEBEB" w:themeFill="accent2" w:themeFillTint="3F"/>
      </w:tcPr>
    </w:tblStylePr>
    <w:tblStylePr w:type="band1Horz">
      <w:tblPr/>
      <w:tcPr>
        <w:tcBorders>
          <w:insideH w:val="nil"/>
          <w:insideV w:val="nil"/>
        </w:tcBorders>
        <w:shd w:val="clear" w:color="auto" w:fill="EBEB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locked/>
    <w:rsid w:val="00F80750"/>
    <w:pPr>
      <w:spacing w:after="0" w:line="240" w:lineRule="auto"/>
    </w:pPr>
    <w:tblPr>
      <w:tblStyleRowBandSize w:val="1"/>
      <w:tblStyleColBandSize w:val="1"/>
      <w:tblBorders>
        <w:top w:val="single" w:sz="8" w:space="0" w:color="B0B0B0" w:themeColor="accent3" w:themeTint="BF"/>
        <w:left w:val="single" w:sz="8" w:space="0" w:color="B0B0B0" w:themeColor="accent3" w:themeTint="BF"/>
        <w:bottom w:val="single" w:sz="8" w:space="0" w:color="B0B0B0" w:themeColor="accent3" w:themeTint="BF"/>
        <w:right w:val="single" w:sz="8" w:space="0" w:color="B0B0B0" w:themeColor="accent3" w:themeTint="BF"/>
        <w:insideH w:val="single" w:sz="8" w:space="0" w:color="B0B0B0" w:themeColor="accent3" w:themeTint="BF"/>
      </w:tblBorders>
    </w:tblPr>
    <w:tblStylePr w:type="firstRow">
      <w:pPr>
        <w:spacing w:before="0" w:after="0" w:line="240" w:lineRule="auto"/>
      </w:pPr>
      <w:rPr>
        <w:b/>
        <w:bCs/>
        <w:color w:val="FFFFFF" w:themeColor="background1"/>
      </w:rPr>
      <w:tblPr/>
      <w:tcPr>
        <w:tcBorders>
          <w:top w:val="single" w:sz="8" w:space="0" w:color="B0B0B0" w:themeColor="accent3" w:themeTint="BF"/>
          <w:left w:val="single" w:sz="8" w:space="0" w:color="B0B0B0" w:themeColor="accent3" w:themeTint="BF"/>
          <w:bottom w:val="single" w:sz="8" w:space="0" w:color="B0B0B0" w:themeColor="accent3" w:themeTint="BF"/>
          <w:right w:val="single" w:sz="8" w:space="0" w:color="B0B0B0" w:themeColor="accent3" w:themeTint="BF"/>
          <w:insideH w:val="nil"/>
          <w:insideV w:val="nil"/>
        </w:tcBorders>
        <w:shd w:val="clear" w:color="auto" w:fill="969696" w:themeFill="accent3"/>
      </w:tcPr>
    </w:tblStylePr>
    <w:tblStylePr w:type="lastRow">
      <w:pPr>
        <w:spacing w:before="0" w:after="0" w:line="240" w:lineRule="auto"/>
      </w:pPr>
      <w:rPr>
        <w:b/>
        <w:bCs/>
      </w:rPr>
      <w:tblPr/>
      <w:tcPr>
        <w:tcBorders>
          <w:top w:val="double" w:sz="6" w:space="0" w:color="B0B0B0" w:themeColor="accent3" w:themeTint="BF"/>
          <w:left w:val="single" w:sz="8" w:space="0" w:color="B0B0B0" w:themeColor="accent3" w:themeTint="BF"/>
          <w:bottom w:val="single" w:sz="8" w:space="0" w:color="B0B0B0" w:themeColor="accent3" w:themeTint="BF"/>
          <w:right w:val="single" w:sz="8" w:space="0" w:color="B0B0B0" w:themeColor="accent3" w:themeTint="BF"/>
          <w:insideH w:val="nil"/>
          <w:insideV w:val="nil"/>
        </w:tcBorders>
      </w:tcPr>
    </w:tblStylePr>
    <w:tblStylePr w:type="firstCol">
      <w:rPr>
        <w:b/>
        <w:bCs/>
      </w:rPr>
    </w:tblStylePr>
    <w:tblStylePr w:type="lastCol">
      <w:rPr>
        <w:b/>
        <w:bCs/>
      </w:rPr>
    </w:tblStylePr>
    <w:tblStylePr w:type="band1Vert">
      <w:tblPr/>
      <w:tcPr>
        <w:shd w:val="clear" w:color="auto" w:fill="E5E5E5" w:themeFill="accent3" w:themeFillTint="3F"/>
      </w:tcPr>
    </w:tblStylePr>
    <w:tblStylePr w:type="band1Horz">
      <w:tblPr/>
      <w:tcPr>
        <w:tcBorders>
          <w:insideH w:val="nil"/>
          <w:insideV w:val="nil"/>
        </w:tcBorders>
        <w:shd w:val="clear" w:color="auto" w:fill="E5E5E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locked/>
    <w:rsid w:val="00F80750"/>
    <w:pPr>
      <w:spacing w:after="0" w:line="240" w:lineRule="auto"/>
    </w:pPr>
    <w:tblPr>
      <w:tblStyleRowBandSize w:val="1"/>
      <w:tblStyleColBandSize w:val="1"/>
      <w:tblBorders>
        <w:top w:val="single" w:sz="8" w:space="0" w:color="9F9F9F" w:themeColor="accent4" w:themeTint="BF"/>
        <w:left w:val="single" w:sz="8" w:space="0" w:color="9F9F9F" w:themeColor="accent4" w:themeTint="BF"/>
        <w:bottom w:val="single" w:sz="8" w:space="0" w:color="9F9F9F" w:themeColor="accent4" w:themeTint="BF"/>
        <w:right w:val="single" w:sz="8" w:space="0" w:color="9F9F9F" w:themeColor="accent4" w:themeTint="BF"/>
        <w:insideH w:val="single" w:sz="8" w:space="0" w:color="9F9F9F" w:themeColor="accent4" w:themeTint="BF"/>
      </w:tblBorders>
    </w:tblPr>
    <w:tblStylePr w:type="firstRow">
      <w:pPr>
        <w:spacing w:before="0" w:after="0" w:line="240" w:lineRule="auto"/>
      </w:pPr>
      <w:rPr>
        <w:b/>
        <w:bCs/>
        <w:color w:val="FFFFFF" w:themeColor="background1"/>
      </w:rPr>
      <w:tblPr/>
      <w:tcPr>
        <w:tcBorders>
          <w:top w:val="single" w:sz="8" w:space="0" w:color="9F9F9F" w:themeColor="accent4" w:themeTint="BF"/>
          <w:left w:val="single" w:sz="8" w:space="0" w:color="9F9F9F" w:themeColor="accent4" w:themeTint="BF"/>
          <w:bottom w:val="single" w:sz="8" w:space="0" w:color="9F9F9F" w:themeColor="accent4" w:themeTint="BF"/>
          <w:right w:val="single" w:sz="8" w:space="0" w:color="9F9F9F" w:themeColor="accent4" w:themeTint="BF"/>
          <w:insideH w:val="nil"/>
          <w:insideV w:val="nil"/>
        </w:tcBorders>
        <w:shd w:val="clear" w:color="auto" w:fill="808080" w:themeFill="accent4"/>
      </w:tcPr>
    </w:tblStylePr>
    <w:tblStylePr w:type="lastRow">
      <w:pPr>
        <w:spacing w:before="0" w:after="0" w:line="240" w:lineRule="auto"/>
      </w:pPr>
      <w:rPr>
        <w:b/>
        <w:bCs/>
      </w:rPr>
      <w:tblPr/>
      <w:tcPr>
        <w:tcBorders>
          <w:top w:val="double" w:sz="6" w:space="0" w:color="9F9F9F" w:themeColor="accent4" w:themeTint="BF"/>
          <w:left w:val="single" w:sz="8" w:space="0" w:color="9F9F9F" w:themeColor="accent4" w:themeTint="BF"/>
          <w:bottom w:val="single" w:sz="8" w:space="0" w:color="9F9F9F" w:themeColor="accent4" w:themeTint="BF"/>
          <w:right w:val="single" w:sz="8" w:space="0" w:color="9F9F9F"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FDF" w:themeFill="accent4" w:themeFillTint="3F"/>
      </w:tcPr>
    </w:tblStylePr>
    <w:tblStylePr w:type="band1Horz">
      <w:tblPr/>
      <w:tcPr>
        <w:tcBorders>
          <w:insideH w:val="nil"/>
          <w:insideV w:val="nil"/>
        </w:tcBorders>
        <w:shd w:val="clear" w:color="auto" w:fill="DFDFDF"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locked/>
    <w:rsid w:val="00F80750"/>
    <w:pPr>
      <w:spacing w:after="0" w:line="240" w:lineRule="auto"/>
    </w:pPr>
    <w:tblPr>
      <w:tblStyleRowBandSize w:val="1"/>
      <w:tblStyleColBandSize w:val="1"/>
      <w:tbl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single" w:sz="8" w:space="0" w:color="878787" w:themeColor="accent5" w:themeTint="BF"/>
      </w:tblBorders>
    </w:tblPr>
    <w:tblStylePr w:type="firstRow">
      <w:pPr>
        <w:spacing w:before="0" w:after="0" w:line="240" w:lineRule="auto"/>
      </w:pPr>
      <w:rPr>
        <w:b/>
        <w:bCs/>
        <w:color w:val="FFFFFF" w:themeColor="background1"/>
      </w:rPr>
      <w:tblPr/>
      <w:tcPr>
        <w:tc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nil"/>
          <w:insideV w:val="nil"/>
        </w:tcBorders>
        <w:shd w:val="clear" w:color="auto" w:fill="5F5F5F" w:themeFill="accent5"/>
      </w:tcPr>
    </w:tblStylePr>
    <w:tblStylePr w:type="lastRow">
      <w:pPr>
        <w:spacing w:before="0" w:after="0" w:line="240" w:lineRule="auto"/>
      </w:pPr>
      <w:rPr>
        <w:b/>
        <w:bCs/>
      </w:rPr>
      <w:tblPr/>
      <w:tcPr>
        <w:tcBorders>
          <w:top w:val="double" w:sz="6"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nil"/>
          <w:insideV w:val="nil"/>
        </w:tcBorders>
      </w:tcPr>
    </w:tblStylePr>
    <w:tblStylePr w:type="firstCol">
      <w:rPr>
        <w:b/>
        <w:bCs/>
      </w:rPr>
    </w:tblStylePr>
    <w:tblStylePr w:type="lastCol">
      <w:rPr>
        <w:b/>
        <w:bCs/>
      </w:rPr>
    </w:tblStylePr>
    <w:tblStylePr w:type="band1Vert">
      <w:tblPr/>
      <w:tcPr>
        <w:shd w:val="clear" w:color="auto" w:fill="D7D7D7" w:themeFill="accent5" w:themeFillTint="3F"/>
      </w:tcPr>
    </w:tblStylePr>
    <w:tblStylePr w:type="band1Horz">
      <w:tblPr/>
      <w:tcPr>
        <w:tcBorders>
          <w:insideH w:val="nil"/>
          <w:insideV w:val="nil"/>
        </w:tcBorders>
        <w:shd w:val="clear" w:color="auto" w:fill="D7D7D7"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locked/>
    <w:rsid w:val="00F80750"/>
    <w:pPr>
      <w:spacing w:after="0" w:line="240" w:lineRule="auto"/>
    </w:pPr>
    <w:tblPr>
      <w:tblStyleRowBandSize w:val="1"/>
      <w:tblStyleColBandSize w:val="1"/>
      <w:tbl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single" w:sz="8" w:space="0" w:color="797979" w:themeColor="accent6" w:themeTint="BF"/>
      </w:tblBorders>
    </w:tblPr>
    <w:tblStylePr w:type="firstRow">
      <w:pPr>
        <w:spacing w:before="0" w:after="0" w:line="240" w:lineRule="auto"/>
      </w:pPr>
      <w:rPr>
        <w:b/>
        <w:bCs/>
        <w:color w:val="FFFFFF" w:themeColor="background1"/>
      </w:rPr>
      <w:tblPr/>
      <w:tcPr>
        <w:tc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nil"/>
          <w:insideV w:val="nil"/>
        </w:tcBorders>
        <w:shd w:val="clear" w:color="auto" w:fill="4D4D4D" w:themeFill="accent6"/>
      </w:tcPr>
    </w:tblStylePr>
    <w:tblStylePr w:type="lastRow">
      <w:pPr>
        <w:spacing w:before="0" w:after="0" w:line="240" w:lineRule="auto"/>
      </w:pPr>
      <w:rPr>
        <w:b/>
        <w:bCs/>
      </w:rPr>
      <w:tblPr/>
      <w:tcPr>
        <w:tcBorders>
          <w:top w:val="double" w:sz="6"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nil"/>
          <w:insideV w:val="nil"/>
        </w:tcBorders>
      </w:tcPr>
    </w:tblStylePr>
    <w:tblStylePr w:type="firstCol">
      <w:rPr>
        <w:b/>
        <w:bCs/>
      </w:rPr>
    </w:tblStylePr>
    <w:tblStylePr w:type="lastCol">
      <w:rPr>
        <w:b/>
        <w:bCs/>
      </w:rPr>
    </w:tblStylePr>
    <w:tblStylePr w:type="band1Vert">
      <w:tblPr/>
      <w:tcPr>
        <w:shd w:val="clear" w:color="auto" w:fill="D3D3D3" w:themeFill="accent6" w:themeFillTint="3F"/>
      </w:tcPr>
    </w:tblStylePr>
    <w:tblStylePr w:type="band1Horz">
      <w:tblPr/>
      <w:tcPr>
        <w:tcBorders>
          <w:insideH w:val="nil"/>
          <w:insideV w:val="nil"/>
        </w:tcBorders>
        <w:shd w:val="clear" w:color="auto" w:fill="D3D3D3"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locked/>
    <w:rsid w:val="00F8075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locked/>
    <w:rsid w:val="00F8075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DDDDD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DDDDDD" w:themeFill="accent1"/>
      </w:tcPr>
    </w:tblStylePr>
    <w:tblStylePr w:type="lastCol">
      <w:rPr>
        <w:b/>
        <w:bCs/>
        <w:color w:val="FFFFFF" w:themeColor="background1"/>
      </w:rPr>
      <w:tblPr/>
      <w:tcPr>
        <w:tcBorders>
          <w:left w:val="nil"/>
          <w:right w:val="nil"/>
          <w:insideH w:val="nil"/>
          <w:insideV w:val="nil"/>
        </w:tcBorders>
        <w:shd w:val="clear" w:color="auto" w:fill="DDDDD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locked/>
    <w:rsid w:val="00F8075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B2B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B2B2" w:themeFill="accent2"/>
      </w:tcPr>
    </w:tblStylePr>
    <w:tblStylePr w:type="lastCol">
      <w:rPr>
        <w:b/>
        <w:bCs/>
        <w:color w:val="FFFFFF" w:themeColor="background1"/>
      </w:rPr>
      <w:tblPr/>
      <w:tcPr>
        <w:tcBorders>
          <w:left w:val="nil"/>
          <w:right w:val="nil"/>
          <w:insideH w:val="nil"/>
          <w:insideV w:val="nil"/>
        </w:tcBorders>
        <w:shd w:val="clear" w:color="auto" w:fill="B2B2B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locked/>
    <w:rsid w:val="00F8075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69696"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69696" w:themeFill="accent3"/>
      </w:tcPr>
    </w:tblStylePr>
    <w:tblStylePr w:type="lastCol">
      <w:rPr>
        <w:b/>
        <w:bCs/>
        <w:color w:val="FFFFFF" w:themeColor="background1"/>
      </w:rPr>
      <w:tblPr/>
      <w:tcPr>
        <w:tcBorders>
          <w:left w:val="nil"/>
          <w:right w:val="nil"/>
          <w:insideH w:val="nil"/>
          <w:insideV w:val="nil"/>
        </w:tcBorders>
        <w:shd w:val="clear" w:color="auto" w:fill="969696"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locked/>
    <w:rsid w:val="00F8075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808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8080" w:themeFill="accent4"/>
      </w:tcPr>
    </w:tblStylePr>
    <w:tblStylePr w:type="lastCol">
      <w:rPr>
        <w:b/>
        <w:bCs/>
        <w:color w:val="FFFFFF" w:themeColor="background1"/>
      </w:rPr>
      <w:tblPr/>
      <w:tcPr>
        <w:tcBorders>
          <w:left w:val="nil"/>
          <w:right w:val="nil"/>
          <w:insideH w:val="nil"/>
          <w:insideV w:val="nil"/>
        </w:tcBorders>
        <w:shd w:val="clear" w:color="auto" w:fill="80808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locked/>
    <w:rsid w:val="00F8075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F5F5F"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F5F5F" w:themeFill="accent5"/>
      </w:tcPr>
    </w:tblStylePr>
    <w:tblStylePr w:type="lastCol">
      <w:rPr>
        <w:b/>
        <w:bCs/>
        <w:color w:val="FFFFFF" w:themeColor="background1"/>
      </w:rPr>
      <w:tblPr/>
      <w:tcPr>
        <w:tcBorders>
          <w:left w:val="nil"/>
          <w:right w:val="nil"/>
          <w:insideH w:val="nil"/>
          <w:insideV w:val="nil"/>
        </w:tcBorders>
        <w:shd w:val="clear" w:color="auto" w:fill="5F5F5F"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locked/>
    <w:rsid w:val="00F8075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D4D4D"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D4D4D" w:themeFill="accent6"/>
      </w:tcPr>
    </w:tblStylePr>
    <w:tblStylePr w:type="lastCol">
      <w:rPr>
        <w:b/>
        <w:bCs/>
        <w:color w:val="FFFFFF" w:themeColor="background1"/>
      </w:rPr>
      <w:tblPr/>
      <w:tcPr>
        <w:tcBorders>
          <w:left w:val="nil"/>
          <w:right w:val="nil"/>
          <w:insideH w:val="nil"/>
          <w:insideV w:val="nil"/>
        </w:tcBorders>
        <w:shd w:val="clear" w:color="auto" w:fill="4D4D4D"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locked/>
    <w:rsid w:val="00F80750"/>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F80750"/>
    <w:rPr>
      <w:rFonts w:asciiTheme="majorHAnsi" w:eastAsiaTheme="majorEastAsia" w:hAnsiTheme="majorHAnsi" w:cstheme="majorBidi"/>
      <w:noProof w:val="0"/>
      <w:sz w:val="24"/>
      <w:szCs w:val="24"/>
      <w:shd w:val="pct20" w:color="auto" w:fill="auto"/>
      <w:lang w:val="en-AU"/>
    </w:rPr>
  </w:style>
  <w:style w:type="paragraph" w:styleId="NoSpacing">
    <w:name w:val="No Spacing"/>
    <w:uiPriority w:val="1"/>
    <w:semiHidden/>
    <w:unhideWhenUsed/>
    <w:qFormat/>
    <w:locked/>
    <w:rsid w:val="00F80750"/>
    <w:pPr>
      <w:spacing w:after="0" w:line="240" w:lineRule="auto"/>
    </w:pPr>
  </w:style>
  <w:style w:type="paragraph" w:styleId="NormalWeb">
    <w:name w:val="Normal (Web)"/>
    <w:basedOn w:val="Normal"/>
    <w:uiPriority w:val="99"/>
    <w:semiHidden/>
    <w:unhideWhenUsed/>
    <w:locked/>
    <w:rsid w:val="00F80750"/>
    <w:rPr>
      <w:rFonts w:ascii="Times New Roman" w:hAnsi="Times New Roman" w:cs="Times New Roman"/>
      <w:sz w:val="24"/>
      <w:szCs w:val="24"/>
    </w:rPr>
  </w:style>
  <w:style w:type="paragraph" w:styleId="NormalIndent">
    <w:name w:val="Normal Indent"/>
    <w:basedOn w:val="Normal"/>
    <w:uiPriority w:val="99"/>
    <w:semiHidden/>
    <w:unhideWhenUsed/>
    <w:locked/>
    <w:rsid w:val="00F80750"/>
    <w:pPr>
      <w:ind w:left="720"/>
    </w:pPr>
  </w:style>
  <w:style w:type="paragraph" w:styleId="NoteHeading">
    <w:name w:val="Note Heading"/>
    <w:basedOn w:val="Normal"/>
    <w:next w:val="Normal"/>
    <w:link w:val="NoteHeadingChar"/>
    <w:uiPriority w:val="99"/>
    <w:semiHidden/>
    <w:unhideWhenUsed/>
    <w:locked/>
    <w:rsid w:val="00F80750"/>
    <w:pPr>
      <w:spacing w:after="0" w:line="240" w:lineRule="auto"/>
    </w:pPr>
  </w:style>
  <w:style w:type="character" w:customStyle="1" w:styleId="NoteHeadingChar">
    <w:name w:val="Note Heading Char"/>
    <w:basedOn w:val="DefaultParagraphFont"/>
    <w:link w:val="NoteHeading"/>
    <w:uiPriority w:val="99"/>
    <w:semiHidden/>
    <w:rsid w:val="00F80750"/>
    <w:rPr>
      <w:noProof w:val="0"/>
      <w:lang w:val="en-AU"/>
    </w:rPr>
  </w:style>
  <w:style w:type="character" w:styleId="PageNumber">
    <w:name w:val="page number"/>
    <w:basedOn w:val="DefaultParagraphFont"/>
    <w:uiPriority w:val="99"/>
    <w:semiHidden/>
    <w:unhideWhenUsed/>
    <w:locked/>
    <w:rsid w:val="00F80750"/>
    <w:rPr>
      <w:noProof w:val="0"/>
      <w:lang w:val="en-AU"/>
    </w:rPr>
  </w:style>
  <w:style w:type="paragraph" w:styleId="PlainText">
    <w:name w:val="Plain Text"/>
    <w:basedOn w:val="Normal"/>
    <w:link w:val="PlainTextChar"/>
    <w:uiPriority w:val="99"/>
    <w:semiHidden/>
    <w:unhideWhenUsed/>
    <w:locked/>
    <w:rsid w:val="00F80750"/>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F80750"/>
    <w:rPr>
      <w:rFonts w:ascii="Consolas" w:hAnsi="Consolas"/>
      <w:noProof w:val="0"/>
      <w:sz w:val="21"/>
      <w:szCs w:val="21"/>
      <w:lang w:val="en-AU"/>
    </w:rPr>
  </w:style>
  <w:style w:type="paragraph" w:styleId="Quote">
    <w:name w:val="Quote"/>
    <w:basedOn w:val="Normal"/>
    <w:next w:val="Normal"/>
    <w:link w:val="QuoteChar"/>
    <w:uiPriority w:val="29"/>
    <w:semiHidden/>
    <w:qFormat/>
    <w:locked/>
    <w:rsid w:val="00F80750"/>
    <w:rPr>
      <w:i/>
      <w:iCs/>
      <w:color w:val="000000" w:themeColor="text1"/>
    </w:rPr>
  </w:style>
  <w:style w:type="character" w:customStyle="1" w:styleId="QuoteChar">
    <w:name w:val="Quote Char"/>
    <w:basedOn w:val="DefaultParagraphFont"/>
    <w:link w:val="Quote"/>
    <w:uiPriority w:val="29"/>
    <w:semiHidden/>
    <w:rsid w:val="00F80750"/>
    <w:rPr>
      <w:i/>
      <w:iCs/>
      <w:noProof w:val="0"/>
      <w:color w:val="000000" w:themeColor="text1"/>
      <w:lang w:val="en-AU"/>
    </w:rPr>
  </w:style>
  <w:style w:type="paragraph" w:styleId="Salutation">
    <w:name w:val="Salutation"/>
    <w:basedOn w:val="Normal"/>
    <w:next w:val="Normal"/>
    <w:link w:val="SalutationChar"/>
    <w:uiPriority w:val="99"/>
    <w:semiHidden/>
    <w:unhideWhenUsed/>
    <w:locked/>
    <w:rsid w:val="00F80750"/>
  </w:style>
  <w:style w:type="character" w:customStyle="1" w:styleId="SalutationChar">
    <w:name w:val="Salutation Char"/>
    <w:basedOn w:val="DefaultParagraphFont"/>
    <w:link w:val="Salutation"/>
    <w:uiPriority w:val="99"/>
    <w:semiHidden/>
    <w:rsid w:val="00F80750"/>
    <w:rPr>
      <w:noProof w:val="0"/>
      <w:lang w:val="en-AU"/>
    </w:rPr>
  </w:style>
  <w:style w:type="paragraph" w:styleId="Signature">
    <w:name w:val="Signature"/>
    <w:basedOn w:val="Normal"/>
    <w:link w:val="SignatureChar"/>
    <w:uiPriority w:val="99"/>
    <w:semiHidden/>
    <w:unhideWhenUsed/>
    <w:locked/>
    <w:rsid w:val="00F80750"/>
    <w:pPr>
      <w:spacing w:after="0" w:line="240" w:lineRule="auto"/>
      <w:ind w:left="4252"/>
    </w:pPr>
  </w:style>
  <w:style w:type="character" w:customStyle="1" w:styleId="SignatureChar">
    <w:name w:val="Signature Char"/>
    <w:basedOn w:val="DefaultParagraphFont"/>
    <w:link w:val="Signature"/>
    <w:uiPriority w:val="99"/>
    <w:semiHidden/>
    <w:rsid w:val="00F80750"/>
    <w:rPr>
      <w:noProof w:val="0"/>
      <w:lang w:val="en-AU"/>
    </w:rPr>
  </w:style>
  <w:style w:type="character" w:styleId="Strong">
    <w:name w:val="Strong"/>
    <w:basedOn w:val="DefaultParagraphFont"/>
    <w:uiPriority w:val="22"/>
    <w:qFormat/>
    <w:rsid w:val="00120CF3"/>
    <w:rPr>
      <w:rFonts w:asciiTheme="minorHAnsi" w:hAnsiTheme="minorHAnsi"/>
      <w:b/>
      <w:bCs/>
      <w:noProof w:val="0"/>
      <w:sz w:val="22"/>
      <w:lang w:val="en-AU"/>
    </w:rPr>
  </w:style>
  <w:style w:type="paragraph" w:styleId="Subtitle">
    <w:name w:val="Subtitle"/>
    <w:basedOn w:val="Normal"/>
    <w:next w:val="Normal"/>
    <w:link w:val="SubtitleChar"/>
    <w:uiPriority w:val="11"/>
    <w:semiHidden/>
    <w:unhideWhenUsed/>
    <w:qFormat/>
    <w:locked/>
    <w:rsid w:val="00F80750"/>
    <w:pPr>
      <w:numPr>
        <w:ilvl w:val="1"/>
      </w:numPr>
    </w:pPr>
    <w:rPr>
      <w:rFonts w:asciiTheme="majorHAnsi" w:eastAsiaTheme="majorEastAsia" w:hAnsiTheme="majorHAnsi" w:cstheme="majorBidi"/>
      <w:i/>
      <w:iCs/>
      <w:color w:val="DDDDDD" w:themeColor="accent1"/>
      <w:spacing w:val="15"/>
      <w:sz w:val="24"/>
      <w:szCs w:val="24"/>
    </w:rPr>
  </w:style>
  <w:style w:type="character" w:customStyle="1" w:styleId="SubtitleChar">
    <w:name w:val="Subtitle Char"/>
    <w:basedOn w:val="DefaultParagraphFont"/>
    <w:link w:val="Subtitle"/>
    <w:uiPriority w:val="11"/>
    <w:semiHidden/>
    <w:rsid w:val="00F80750"/>
    <w:rPr>
      <w:rFonts w:asciiTheme="majorHAnsi" w:eastAsiaTheme="majorEastAsia" w:hAnsiTheme="majorHAnsi" w:cstheme="majorBidi"/>
      <w:i/>
      <w:iCs/>
      <w:noProof w:val="0"/>
      <w:color w:val="DDDDDD" w:themeColor="accent1"/>
      <w:spacing w:val="15"/>
      <w:sz w:val="24"/>
      <w:szCs w:val="24"/>
      <w:lang w:val="en-AU"/>
    </w:rPr>
  </w:style>
  <w:style w:type="character" w:styleId="SubtleEmphasis">
    <w:name w:val="Subtle Emphasis"/>
    <w:basedOn w:val="DefaultParagraphFont"/>
    <w:uiPriority w:val="19"/>
    <w:semiHidden/>
    <w:qFormat/>
    <w:locked/>
    <w:rsid w:val="00F80750"/>
    <w:rPr>
      <w:i/>
      <w:iCs/>
      <w:noProof w:val="0"/>
      <w:color w:val="808080" w:themeColor="text1" w:themeTint="7F"/>
      <w:lang w:val="en-AU"/>
    </w:rPr>
  </w:style>
  <w:style w:type="character" w:styleId="SubtleReference">
    <w:name w:val="Subtle Reference"/>
    <w:basedOn w:val="DefaultParagraphFont"/>
    <w:uiPriority w:val="31"/>
    <w:semiHidden/>
    <w:qFormat/>
    <w:locked/>
    <w:rsid w:val="00F80750"/>
    <w:rPr>
      <w:smallCaps/>
      <w:noProof w:val="0"/>
      <w:color w:val="B2B2B2" w:themeColor="accent2"/>
      <w:u w:val="single"/>
      <w:lang w:val="en-AU"/>
    </w:rPr>
  </w:style>
  <w:style w:type="table" w:styleId="Table3Deffects1">
    <w:name w:val="Table 3D effects 1"/>
    <w:basedOn w:val="TableNormal"/>
    <w:uiPriority w:val="99"/>
    <w:semiHidden/>
    <w:unhideWhenUsed/>
    <w:locked/>
    <w:rsid w:val="00F80750"/>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locked/>
    <w:rsid w:val="00F80750"/>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locked/>
    <w:rsid w:val="00F80750"/>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locked/>
    <w:rsid w:val="00F80750"/>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locked/>
    <w:rsid w:val="00F80750"/>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locked/>
    <w:rsid w:val="00F80750"/>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locked/>
    <w:rsid w:val="00F80750"/>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locked/>
    <w:rsid w:val="00F80750"/>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locked/>
    <w:rsid w:val="00F80750"/>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locked/>
    <w:rsid w:val="00F80750"/>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locked/>
    <w:rsid w:val="00F80750"/>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locked/>
    <w:rsid w:val="00F80750"/>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locked/>
    <w:rsid w:val="00F80750"/>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locked/>
    <w:rsid w:val="00F80750"/>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locked/>
    <w:rsid w:val="00F8075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locked/>
    <w:rsid w:val="00F80750"/>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locked/>
    <w:rsid w:val="00F80750"/>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locked/>
    <w:rsid w:val="00F80750"/>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locked/>
    <w:rsid w:val="00F80750"/>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locked/>
    <w:rsid w:val="00F80750"/>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locked/>
    <w:rsid w:val="00F80750"/>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locked/>
    <w:rsid w:val="00F80750"/>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locked/>
    <w:rsid w:val="00F80750"/>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locked/>
    <w:rsid w:val="00F80750"/>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locked/>
    <w:rsid w:val="00F80750"/>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locked/>
    <w:rsid w:val="00F80750"/>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locked/>
    <w:rsid w:val="00F80750"/>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locked/>
    <w:rsid w:val="00F80750"/>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locked/>
    <w:rsid w:val="00F80750"/>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locked/>
    <w:rsid w:val="00F80750"/>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locked/>
    <w:rsid w:val="00F80750"/>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locked/>
    <w:rsid w:val="00F80750"/>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locked/>
    <w:rsid w:val="00F80750"/>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locked/>
    <w:rsid w:val="00F80750"/>
    <w:pPr>
      <w:spacing w:after="0"/>
      <w:ind w:left="190" w:hanging="190"/>
    </w:pPr>
  </w:style>
  <w:style w:type="paragraph" w:styleId="TableofFigures">
    <w:name w:val="table of figures"/>
    <w:basedOn w:val="Normal"/>
    <w:next w:val="Normal"/>
    <w:uiPriority w:val="99"/>
    <w:semiHidden/>
    <w:unhideWhenUsed/>
    <w:locked/>
    <w:rsid w:val="00F80750"/>
    <w:pPr>
      <w:spacing w:after="0"/>
    </w:pPr>
  </w:style>
  <w:style w:type="table" w:styleId="TableProfessional">
    <w:name w:val="Table Professional"/>
    <w:basedOn w:val="TableNormal"/>
    <w:uiPriority w:val="99"/>
    <w:semiHidden/>
    <w:unhideWhenUsed/>
    <w:locked/>
    <w:rsid w:val="00F80750"/>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locked/>
    <w:rsid w:val="00F80750"/>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locked/>
    <w:rsid w:val="00F80750"/>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locked/>
    <w:rsid w:val="00F80750"/>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locked/>
    <w:rsid w:val="00F80750"/>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locked/>
    <w:rsid w:val="00F80750"/>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locked/>
    <w:rsid w:val="00F807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locked/>
    <w:rsid w:val="00F80750"/>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locked/>
    <w:rsid w:val="00F80750"/>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locked/>
    <w:rsid w:val="00F80750"/>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locked/>
    <w:rsid w:val="00F80750"/>
    <w:pPr>
      <w:spacing w:before="120"/>
    </w:pPr>
    <w:rPr>
      <w:rFonts w:asciiTheme="majorHAnsi" w:eastAsiaTheme="majorEastAsia" w:hAnsiTheme="majorHAnsi" w:cstheme="majorBidi"/>
      <w:b/>
      <w:bCs/>
      <w:sz w:val="24"/>
      <w:szCs w:val="24"/>
    </w:rPr>
  </w:style>
  <w:style w:type="paragraph" w:styleId="TOC2">
    <w:name w:val="toc 2"/>
    <w:basedOn w:val="Normal"/>
    <w:next w:val="Normal"/>
    <w:autoRedefine/>
    <w:uiPriority w:val="39"/>
    <w:rsid w:val="00737D9E"/>
    <w:pPr>
      <w:spacing w:after="97"/>
      <w:ind w:left="193"/>
    </w:pPr>
    <w:rPr>
      <w:sz w:val="18"/>
    </w:rPr>
  </w:style>
  <w:style w:type="paragraph" w:styleId="TOC3">
    <w:name w:val="toc 3"/>
    <w:basedOn w:val="Normal"/>
    <w:next w:val="Normal"/>
    <w:autoRedefine/>
    <w:uiPriority w:val="39"/>
    <w:rsid w:val="00737D9E"/>
    <w:pPr>
      <w:spacing w:after="97"/>
      <w:ind w:left="380"/>
    </w:pPr>
    <w:rPr>
      <w:sz w:val="18"/>
    </w:rPr>
  </w:style>
  <w:style w:type="paragraph" w:styleId="TOC4">
    <w:name w:val="toc 4"/>
    <w:basedOn w:val="Normal"/>
    <w:next w:val="Normal"/>
    <w:autoRedefine/>
    <w:uiPriority w:val="39"/>
    <w:semiHidden/>
    <w:unhideWhenUsed/>
    <w:locked/>
    <w:rsid w:val="00F80750"/>
    <w:pPr>
      <w:spacing w:after="100"/>
      <w:ind w:left="570"/>
    </w:pPr>
  </w:style>
  <w:style w:type="paragraph" w:styleId="TOC5">
    <w:name w:val="toc 5"/>
    <w:basedOn w:val="Normal"/>
    <w:next w:val="Normal"/>
    <w:autoRedefine/>
    <w:uiPriority w:val="39"/>
    <w:semiHidden/>
    <w:unhideWhenUsed/>
    <w:locked/>
    <w:rsid w:val="00F80750"/>
    <w:pPr>
      <w:spacing w:after="100"/>
      <w:ind w:left="760"/>
    </w:pPr>
  </w:style>
  <w:style w:type="paragraph" w:styleId="TOC6">
    <w:name w:val="toc 6"/>
    <w:basedOn w:val="Normal"/>
    <w:next w:val="Normal"/>
    <w:autoRedefine/>
    <w:uiPriority w:val="39"/>
    <w:semiHidden/>
    <w:unhideWhenUsed/>
    <w:locked/>
    <w:rsid w:val="00F80750"/>
    <w:pPr>
      <w:spacing w:after="100"/>
      <w:ind w:left="950"/>
    </w:pPr>
  </w:style>
  <w:style w:type="paragraph" w:styleId="TOC7">
    <w:name w:val="toc 7"/>
    <w:basedOn w:val="Normal"/>
    <w:next w:val="Normal"/>
    <w:autoRedefine/>
    <w:uiPriority w:val="39"/>
    <w:semiHidden/>
    <w:unhideWhenUsed/>
    <w:locked/>
    <w:rsid w:val="00F80750"/>
    <w:pPr>
      <w:spacing w:after="100"/>
      <w:ind w:left="1140"/>
    </w:pPr>
  </w:style>
  <w:style w:type="paragraph" w:styleId="TOC8">
    <w:name w:val="toc 8"/>
    <w:basedOn w:val="Normal"/>
    <w:next w:val="Normal"/>
    <w:autoRedefine/>
    <w:uiPriority w:val="39"/>
    <w:semiHidden/>
    <w:unhideWhenUsed/>
    <w:locked/>
    <w:rsid w:val="00F80750"/>
    <w:pPr>
      <w:spacing w:after="100"/>
      <w:ind w:left="1330"/>
    </w:pPr>
  </w:style>
  <w:style w:type="paragraph" w:styleId="TOC9">
    <w:name w:val="toc 9"/>
    <w:basedOn w:val="Normal"/>
    <w:next w:val="Normal"/>
    <w:autoRedefine/>
    <w:uiPriority w:val="39"/>
    <w:semiHidden/>
    <w:unhideWhenUsed/>
    <w:locked/>
    <w:rsid w:val="00F80750"/>
    <w:pPr>
      <w:spacing w:after="100"/>
      <w:ind w:left="1520"/>
    </w:pPr>
  </w:style>
  <w:style w:type="paragraph" w:customStyle="1" w:styleId="Source">
    <w:name w:val="Source"/>
    <w:basedOn w:val="Normal"/>
    <w:next w:val="Normal"/>
    <w:uiPriority w:val="15"/>
    <w:qFormat/>
    <w:rsid w:val="00120CF3"/>
    <w:pPr>
      <w:numPr>
        <w:ilvl w:val="4"/>
        <w:numId w:val="28"/>
      </w:numPr>
      <w:spacing w:before="57"/>
    </w:pPr>
    <w:rPr>
      <w:sz w:val="17"/>
    </w:rPr>
  </w:style>
  <w:style w:type="paragraph" w:customStyle="1" w:styleId="AppendixHeading">
    <w:name w:val="Appendix Heading"/>
    <w:basedOn w:val="Heading1"/>
    <w:next w:val="BodyText"/>
    <w:uiPriority w:val="4"/>
    <w:qFormat/>
    <w:rsid w:val="00301352"/>
    <w:pPr>
      <w:numPr>
        <w:ilvl w:val="4"/>
      </w:numPr>
      <w:spacing w:before="280" w:after="280"/>
    </w:pPr>
    <w:rPr>
      <w:rFonts w:asciiTheme="majorHAnsi" w:hAnsiTheme="majorHAnsi"/>
    </w:rPr>
  </w:style>
  <w:style w:type="paragraph" w:customStyle="1" w:styleId="Copyright">
    <w:name w:val="Copyright"/>
    <w:basedOn w:val="Normal"/>
    <w:uiPriority w:val="7"/>
    <w:qFormat/>
    <w:rsid w:val="00737D9E"/>
    <w:rPr>
      <w:sz w:val="16"/>
    </w:rPr>
  </w:style>
  <w:style w:type="paragraph" w:customStyle="1" w:styleId="TableBullets1">
    <w:name w:val="Table Bullets 1"/>
    <w:basedOn w:val="Normal"/>
    <w:uiPriority w:val="11"/>
    <w:qFormat/>
    <w:rsid w:val="00120CF3"/>
    <w:pPr>
      <w:numPr>
        <w:numId w:val="29"/>
      </w:numPr>
      <w:spacing w:before="20" w:after="57" w:line="240" w:lineRule="auto"/>
      <w:ind w:right="108" w:hanging="357"/>
    </w:pPr>
    <w:rPr>
      <w:sz w:val="17"/>
    </w:rPr>
  </w:style>
  <w:style w:type="paragraph" w:customStyle="1" w:styleId="Note">
    <w:name w:val="Note"/>
    <w:basedOn w:val="Source"/>
    <w:next w:val="Normal"/>
    <w:uiPriority w:val="15"/>
    <w:qFormat/>
    <w:rsid w:val="000B5DCC"/>
    <w:pPr>
      <w:numPr>
        <w:ilvl w:val="5"/>
      </w:numPr>
    </w:pPr>
    <w:rPr>
      <w:b/>
    </w:rPr>
  </w:style>
  <w:style w:type="paragraph" w:customStyle="1" w:styleId="Tableindent">
    <w:name w:val="Table indent"/>
    <w:basedOn w:val="Normal"/>
    <w:uiPriority w:val="11"/>
    <w:qFormat/>
    <w:rsid w:val="00480570"/>
    <w:pPr>
      <w:spacing w:before="20" w:line="240" w:lineRule="auto"/>
      <w:ind w:left="284" w:right="108"/>
    </w:pPr>
    <w:rPr>
      <w:color w:val="000000" w:themeColor="text1" w:themeShade="BF"/>
      <w:sz w:val="17"/>
    </w:rPr>
  </w:style>
  <w:style w:type="paragraph" w:customStyle="1" w:styleId="TableIndent2">
    <w:name w:val="Table Indent 2"/>
    <w:basedOn w:val="Tableindent"/>
    <w:uiPriority w:val="11"/>
    <w:qFormat/>
    <w:rsid w:val="00480570"/>
    <w:pPr>
      <w:ind w:left="465"/>
    </w:pPr>
    <w:rPr>
      <w:bCs/>
    </w:rPr>
  </w:style>
  <w:style w:type="paragraph" w:customStyle="1" w:styleId="OutcomeHeading">
    <w:name w:val="Outcome Heading"/>
    <w:basedOn w:val="Heading2"/>
    <w:uiPriority w:val="4"/>
    <w:semiHidden/>
    <w:qFormat/>
    <w:rsid w:val="00480570"/>
    <w:pPr>
      <w:numPr>
        <w:ilvl w:val="5"/>
      </w:numPr>
    </w:pPr>
  </w:style>
  <w:style w:type="paragraph" w:customStyle="1" w:styleId="Dear">
    <w:name w:val="Dear"/>
    <w:basedOn w:val="Normal"/>
    <w:next w:val="Normal"/>
    <w:uiPriority w:val="99"/>
    <w:rsid w:val="002F4EBA"/>
    <w:pPr>
      <w:spacing w:before="120" w:after="360" w:line="240" w:lineRule="atLeast"/>
    </w:pPr>
    <w:rPr>
      <w:rFonts w:asciiTheme="minorHAnsi" w:hAnsiTheme="minorHAnsi"/>
    </w:rPr>
  </w:style>
  <w:style w:type="paragraph" w:customStyle="1" w:styleId="Sincerely">
    <w:name w:val="Sincerely"/>
    <w:basedOn w:val="Normal"/>
    <w:next w:val="Normal"/>
    <w:uiPriority w:val="99"/>
    <w:rsid w:val="002F4EBA"/>
    <w:pPr>
      <w:spacing w:before="360" w:after="1080" w:line="240" w:lineRule="atLeast"/>
      <w:jc w:val="both"/>
    </w:pPr>
    <w:rPr>
      <w:rFonts w:asciiTheme="minorHAnsi" w:hAnsiTheme="minorHAnsi"/>
    </w:rPr>
  </w:style>
  <w:style w:type="paragraph" w:customStyle="1" w:styleId="NameAddressDetails">
    <w:name w:val="Name Address Details"/>
    <w:basedOn w:val="Normal"/>
    <w:uiPriority w:val="99"/>
    <w:rsid w:val="002F4EBA"/>
    <w:pPr>
      <w:spacing w:before="960" w:after="600" w:line="240" w:lineRule="atLeast"/>
      <w:contextualSpacing/>
    </w:pPr>
    <w:rPr>
      <w:rFonts w:asciiTheme="minorHAnsi" w:hAnsiTheme="minorHAnsi"/>
    </w:rPr>
  </w:style>
  <w:style w:type="paragraph" w:customStyle="1" w:styleId="NamePosition">
    <w:name w:val="Name Position"/>
    <w:basedOn w:val="Normal"/>
    <w:uiPriority w:val="99"/>
    <w:rsid w:val="001C5D4A"/>
    <w:pPr>
      <w:spacing w:before="840" w:after="0" w:line="240" w:lineRule="atLeast"/>
      <w:contextualSpacing/>
    </w:pPr>
    <w:rPr>
      <w:rFonts w:asciiTheme="minorHAnsi" w:hAnsiTheme="minorHAnsi"/>
    </w:rPr>
  </w:style>
  <w:style w:type="paragraph" w:customStyle="1" w:styleId="SUBJECT">
    <w:name w:val="SUBJECT"/>
    <w:basedOn w:val="Normal"/>
    <w:next w:val="Normal"/>
    <w:uiPriority w:val="99"/>
    <w:rsid w:val="002F4EBA"/>
    <w:pPr>
      <w:spacing w:before="120" w:after="360" w:line="240" w:lineRule="atLeast"/>
    </w:pPr>
    <w:rPr>
      <w:rFonts w:asciiTheme="minorHAnsi" w:hAnsiTheme="minorHAnsi"/>
      <w:b/>
      <w:caps/>
    </w:rPr>
  </w:style>
  <w:style w:type="paragraph" w:customStyle="1" w:styleId="NotesHeading-Level2">
    <w:name w:val="Notes Heading - Level 2"/>
    <w:basedOn w:val="NotesHeading-Level1"/>
    <w:next w:val="Normal"/>
    <w:uiPriority w:val="15"/>
    <w:qFormat/>
    <w:rsid w:val="0008244F"/>
    <w:pPr>
      <w:numPr>
        <w:ilvl w:val="1"/>
      </w:numPr>
      <w:pBdr>
        <w:top w:val="none" w:sz="0" w:space="0" w:color="auto"/>
        <w:left w:val="none" w:sz="0" w:space="0" w:color="auto"/>
        <w:bottom w:val="none" w:sz="0" w:space="0" w:color="auto"/>
        <w:right w:val="none" w:sz="0" w:space="0" w:color="auto"/>
      </w:pBdr>
      <w:shd w:val="clear" w:color="auto" w:fill="auto"/>
      <w:ind w:right="108"/>
    </w:pPr>
    <w:rPr>
      <w:rFonts w:cs="Arial"/>
      <w:color w:val="auto"/>
      <w:u w:val="single"/>
    </w:rPr>
  </w:style>
  <w:style w:type="paragraph" w:customStyle="1" w:styleId="ShadedNormal">
    <w:name w:val="Shaded Normal"/>
    <w:basedOn w:val="Normal"/>
    <w:next w:val="Normal"/>
    <w:uiPriority w:val="15"/>
    <w:qFormat/>
    <w:rsid w:val="00606EAB"/>
    <w:pPr>
      <w:pBdr>
        <w:top w:val="single" w:sz="24" w:space="1" w:color="4D4D4D" w:themeColor="accent6"/>
        <w:left w:val="single" w:sz="24" w:space="4" w:color="4D4D4D" w:themeColor="accent6"/>
        <w:bottom w:val="single" w:sz="24" w:space="1" w:color="4D4D4D" w:themeColor="accent6"/>
        <w:right w:val="single" w:sz="24" w:space="4" w:color="4D4D4D" w:themeColor="accent6"/>
      </w:pBdr>
      <w:shd w:val="clear" w:color="auto" w:fill="4D4D4D" w:themeFill="accent6"/>
      <w:ind w:left="170" w:right="170"/>
    </w:pPr>
    <w:rPr>
      <w:color w:val="FFFFFF" w:themeColor="background1"/>
    </w:rPr>
  </w:style>
  <w:style w:type="paragraph" w:customStyle="1" w:styleId="Footnote">
    <w:name w:val="Footnote"/>
    <w:basedOn w:val="BodyText"/>
    <w:uiPriority w:val="99"/>
    <w:rsid w:val="00840E66"/>
    <w:pPr>
      <w:suppressAutoHyphens/>
      <w:autoSpaceDE w:val="0"/>
      <w:autoSpaceDN w:val="0"/>
      <w:adjustRightInd w:val="0"/>
      <w:spacing w:after="113" w:line="160" w:lineRule="atLeast"/>
      <w:textAlignment w:val="center"/>
    </w:pPr>
    <w:rPr>
      <w:rFonts w:ascii="Univers 47 Light Condensed" w:hAnsi="Univers 47 Light Condensed" w:cs="Univers 47 Light Condensed"/>
      <w:color w:val="000000"/>
      <w:sz w:val="14"/>
      <w:szCs w:val="14"/>
      <w:lang w:val="en-GB"/>
    </w:rPr>
  </w:style>
  <w:style w:type="character" w:customStyle="1" w:styleId="footnoteitalic">
    <w:name w:val="footnote italic"/>
    <w:uiPriority w:val="99"/>
    <w:rsid w:val="00840E6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172158">
      <w:bodyDiv w:val="1"/>
      <w:marLeft w:val="0"/>
      <w:marRight w:val="0"/>
      <w:marTop w:val="0"/>
      <w:marBottom w:val="0"/>
      <w:divBdr>
        <w:top w:val="none" w:sz="0" w:space="0" w:color="auto"/>
        <w:left w:val="none" w:sz="0" w:space="0" w:color="auto"/>
        <w:bottom w:val="none" w:sz="0" w:space="0" w:color="auto"/>
        <w:right w:val="none" w:sz="0" w:space="0" w:color="auto"/>
      </w:divBdr>
      <w:divsChild>
        <w:div w:id="362748683">
          <w:marLeft w:val="547"/>
          <w:marRight w:val="0"/>
          <w:marTop w:val="0"/>
          <w:marBottom w:val="0"/>
          <w:divBdr>
            <w:top w:val="none" w:sz="0" w:space="0" w:color="auto"/>
            <w:left w:val="none" w:sz="0" w:space="0" w:color="auto"/>
            <w:bottom w:val="none" w:sz="0" w:space="0" w:color="auto"/>
            <w:right w:val="none" w:sz="0" w:space="0" w:color="auto"/>
          </w:divBdr>
        </w:div>
      </w:divsChild>
    </w:div>
    <w:div w:id="400718075">
      <w:bodyDiv w:val="1"/>
      <w:marLeft w:val="0"/>
      <w:marRight w:val="0"/>
      <w:marTop w:val="0"/>
      <w:marBottom w:val="0"/>
      <w:divBdr>
        <w:top w:val="none" w:sz="0" w:space="0" w:color="auto"/>
        <w:left w:val="none" w:sz="0" w:space="0" w:color="auto"/>
        <w:bottom w:val="none" w:sz="0" w:space="0" w:color="auto"/>
        <w:right w:val="none" w:sz="0" w:space="0" w:color="auto"/>
      </w:divBdr>
    </w:div>
    <w:div w:id="805007629">
      <w:bodyDiv w:val="1"/>
      <w:marLeft w:val="0"/>
      <w:marRight w:val="0"/>
      <w:marTop w:val="0"/>
      <w:marBottom w:val="0"/>
      <w:divBdr>
        <w:top w:val="none" w:sz="0" w:space="0" w:color="auto"/>
        <w:left w:val="none" w:sz="0" w:space="0" w:color="auto"/>
        <w:bottom w:val="none" w:sz="0" w:space="0" w:color="auto"/>
        <w:right w:val="none" w:sz="0" w:space="0" w:color="auto"/>
      </w:divBdr>
      <w:divsChild>
        <w:div w:id="697118187">
          <w:marLeft w:val="547"/>
          <w:marRight w:val="0"/>
          <w:marTop w:val="0"/>
          <w:marBottom w:val="0"/>
          <w:divBdr>
            <w:top w:val="none" w:sz="0" w:space="0" w:color="auto"/>
            <w:left w:val="none" w:sz="0" w:space="0" w:color="auto"/>
            <w:bottom w:val="none" w:sz="0" w:space="0" w:color="auto"/>
            <w:right w:val="none" w:sz="0" w:space="0" w:color="auto"/>
          </w:divBdr>
        </w:div>
      </w:divsChild>
    </w:div>
    <w:div w:id="1584028942">
      <w:bodyDiv w:val="1"/>
      <w:marLeft w:val="0"/>
      <w:marRight w:val="0"/>
      <w:marTop w:val="0"/>
      <w:marBottom w:val="0"/>
      <w:divBdr>
        <w:top w:val="none" w:sz="0" w:space="0" w:color="auto"/>
        <w:left w:val="none" w:sz="0" w:space="0" w:color="auto"/>
        <w:bottom w:val="none" w:sz="0" w:space="0" w:color="auto"/>
        <w:right w:val="none" w:sz="0" w:space="0" w:color="auto"/>
      </w:divBdr>
      <w:divsChild>
        <w:div w:id="33273183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ommunitybusinesspartnership.gov.a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communitybusinesspartnership.gov.au/wp-content/uploads/2016/04/www.communitybusinesspartnership.gov.au" TargetMode="Externa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ommunitybusinesspartnership.gov.au"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www.itsanhonour.gov.au/coat-arms/index.cfm" TargetMode="External"/><Relationship Id="rId4" Type="http://schemas.microsoft.com/office/2007/relationships/stylesWithEffects" Target="stylesWithEffects.xml"/><Relationship Id="rId9" Type="http://schemas.openxmlformats.org/officeDocument/2006/relationships/hyperlink" Target="https://creativecommons.org/licenses/by/4.0/legalcode"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8" Type="http://schemas.openxmlformats.org/officeDocument/2006/relationships/hyperlink" Target="http://www.abs.gov.au/ausstats/abs@.nsf/mf/4159.0" TargetMode="External"/><Relationship Id="rId3" Type="http://schemas.openxmlformats.org/officeDocument/2006/relationships/hyperlink" Target="http://treasury.gov.au/fsi" TargetMode="External"/><Relationship Id="rId7" Type="http://schemas.openxmlformats.org/officeDocument/2006/relationships/hyperlink" Target="http://impactinvestingaustralia.com/our-work/g8-taskforce-on-impact-investing/" TargetMode="External"/><Relationship Id="rId2" Type="http://schemas.openxmlformats.org/officeDocument/2006/relationships/hyperlink" Target="http://www.abs.gov.au/ausstats/abs@.nsf/mf/4159.0" TargetMode="External"/><Relationship Id="rId1" Type="http://schemas.openxmlformats.org/officeDocument/2006/relationships/hyperlink" Target="http://www.treasury.gov.au/ConsultationsandReviews/Consultations/2015/Amendments-to-the-private-and-public-ancillary-fund-guidelines" TargetMode="External"/><Relationship Id="rId6" Type="http://schemas.openxmlformats.org/officeDocument/2006/relationships/hyperlink" Target="http://australianphilanthropicservices.com.au/wp-content/uploads/2015/09/Media-Release-APS-July-2015.pdf" TargetMode="External"/><Relationship Id="rId5" Type="http://schemas.openxmlformats.org/officeDocument/2006/relationships/hyperlink" Target="http://www.natsem.canberra.edu.au/publications/?publication=ampnatsem-income-and-wealth-report-issue-5-wealth-and-inheritance" TargetMode="External"/><Relationship Id="rId4" Type="http://schemas.openxmlformats.org/officeDocument/2006/relationships/hyperlink" Target="https://www.dss.gov.au/sites/default/files/documents/05_2012/givingaustraliareport.pdf" TargetMode="External"/></Relationships>
</file>

<file path=word/theme/theme1.xml><?xml version="1.0" encoding="utf-8"?>
<a:theme xmlns:a="http://schemas.openxmlformats.org/drawingml/2006/main" name="Office Theme">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18EE35-CF8F-4814-AADE-5982A941C3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9430</Words>
  <Characters>53756</Characters>
  <Application>Microsoft Office Word</Application>
  <DocSecurity>0</DocSecurity>
  <Lines>447</Lines>
  <Paragraphs>126</Paragraphs>
  <ScaleCrop>false</ScaleCrop>
  <HeadingPairs>
    <vt:vector size="2" baseType="variant">
      <vt:variant>
        <vt:lpstr>Title</vt:lpstr>
      </vt:variant>
      <vt:variant>
        <vt:i4>1</vt:i4>
      </vt:variant>
    </vt:vector>
  </HeadingPairs>
  <TitlesOfParts>
    <vt:vector size="1" baseType="lpstr">
      <vt:lpstr/>
    </vt:vector>
  </TitlesOfParts>
  <Company>FaHCSIA</Company>
  <LinksUpToDate>false</LinksUpToDate>
  <CharactersWithSpaces>63060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Rochelle</dc:creator>
  <cp:lastModifiedBy>COLLINS, Tracy-Anne</cp:lastModifiedBy>
  <cp:revision>2</cp:revision>
  <cp:lastPrinted>2014-02-02T12:10:00Z</cp:lastPrinted>
  <dcterms:created xsi:type="dcterms:W3CDTF">2016-04-18T06:52:00Z</dcterms:created>
  <dcterms:modified xsi:type="dcterms:W3CDTF">2016-04-18T06:52:00Z</dcterms:modified>
</cp:coreProperties>
</file>